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340" w:rsidRDefault="003276B7" w:rsidP="00625340">
      <w:pPr>
        <w:spacing w:after="0" w:line="360" w:lineRule="auto"/>
        <w:jc w:val="both"/>
        <w:rPr>
          <w:rFonts w:ascii="Palatino Linotype" w:hAnsi="Palatino Linotype" w:cs="Arial"/>
          <w:b/>
          <w:sz w:val="24"/>
          <w:szCs w:val="24"/>
        </w:rPr>
      </w:pPr>
      <w:bookmarkStart w:id="0" w:name="_GoBack"/>
      <w:bookmarkEnd w:id="0"/>
      <w:r>
        <w:rPr>
          <w:rFonts w:ascii="Palatino Linotype" w:hAnsi="Palatino Linotype" w:cs="Arial"/>
          <w:b/>
          <w:sz w:val="24"/>
          <w:szCs w:val="24"/>
        </w:rPr>
        <w:t xml:space="preserve"> </w:t>
      </w:r>
      <w:r w:rsidR="00C02AF0">
        <w:rPr>
          <w:rFonts w:ascii="Palatino Linotype" w:hAnsi="Palatino Linotype" w:cs="Arial"/>
          <w:b/>
          <w:sz w:val="24"/>
          <w:szCs w:val="24"/>
        </w:rPr>
        <w:t>VOTO</w:t>
      </w:r>
      <w:r w:rsidR="00625340" w:rsidRPr="001C3008">
        <w:rPr>
          <w:rFonts w:ascii="Palatino Linotype" w:hAnsi="Palatino Linotype" w:cs="Arial"/>
          <w:b/>
          <w:sz w:val="24"/>
          <w:szCs w:val="24"/>
        </w:rPr>
        <w:t xml:space="preserve"> PARTICULAR DEL COMISIONADO JOSÉ GUADALUP</w:t>
      </w:r>
      <w:r w:rsidR="00625340">
        <w:rPr>
          <w:rFonts w:ascii="Palatino Linotype" w:hAnsi="Palatino Linotype" w:cs="Arial"/>
          <w:b/>
          <w:sz w:val="24"/>
          <w:szCs w:val="24"/>
        </w:rPr>
        <w:t>E LUNA HERNÁNDEZ EN EL RECURSO</w:t>
      </w:r>
      <w:r w:rsidR="00625340" w:rsidRPr="001C3008">
        <w:rPr>
          <w:rFonts w:ascii="Palatino Linotype" w:hAnsi="Palatino Linotype" w:cs="Arial"/>
          <w:b/>
          <w:sz w:val="24"/>
          <w:szCs w:val="24"/>
        </w:rPr>
        <w:t xml:space="preserve"> DE REVISIÓN </w:t>
      </w:r>
      <w:r w:rsidR="00F74AB6">
        <w:rPr>
          <w:rFonts w:ascii="Palatino Linotype" w:hAnsi="Palatino Linotype" w:cs="Arial"/>
          <w:b/>
          <w:sz w:val="24"/>
          <w:szCs w:val="24"/>
        </w:rPr>
        <w:t>02</w:t>
      </w:r>
      <w:r w:rsidR="00CB13F0">
        <w:rPr>
          <w:rFonts w:ascii="Palatino Linotype" w:hAnsi="Palatino Linotype" w:cs="Arial"/>
          <w:b/>
          <w:sz w:val="24"/>
          <w:szCs w:val="24"/>
        </w:rPr>
        <w:t>922</w:t>
      </w:r>
      <w:r w:rsidR="00625340" w:rsidRPr="002E02EC">
        <w:rPr>
          <w:rFonts w:ascii="Palatino Linotype" w:hAnsi="Palatino Linotype" w:cs="Arial"/>
          <w:b/>
          <w:sz w:val="24"/>
          <w:szCs w:val="24"/>
        </w:rPr>
        <w:t>/INFOEM/IP/RR/201</w:t>
      </w:r>
      <w:r w:rsidR="00CB13F0">
        <w:rPr>
          <w:rFonts w:ascii="Palatino Linotype" w:hAnsi="Palatino Linotype" w:cs="Arial"/>
          <w:b/>
          <w:sz w:val="24"/>
          <w:szCs w:val="24"/>
        </w:rPr>
        <w:t>9</w:t>
      </w:r>
      <w:r w:rsidR="00625340">
        <w:rPr>
          <w:rFonts w:ascii="Palatino Linotype" w:hAnsi="Palatino Linotype" w:cs="Arial"/>
          <w:b/>
          <w:sz w:val="24"/>
          <w:szCs w:val="24"/>
        </w:rPr>
        <w:t>.</w:t>
      </w:r>
    </w:p>
    <w:p w:rsidR="00625340" w:rsidRPr="006773C0" w:rsidRDefault="00625340" w:rsidP="00625340">
      <w:pPr>
        <w:spacing w:after="0" w:line="360" w:lineRule="auto"/>
        <w:jc w:val="both"/>
        <w:rPr>
          <w:rFonts w:ascii="Palatino Linotype" w:hAnsi="Palatino Linotype" w:cs="Arial"/>
          <w:b/>
          <w:sz w:val="24"/>
          <w:szCs w:val="24"/>
        </w:rPr>
      </w:pPr>
    </w:p>
    <w:p w:rsidR="006773C0" w:rsidRDefault="00625340" w:rsidP="00625340">
      <w:pPr>
        <w:spacing w:after="0" w:line="360" w:lineRule="auto"/>
        <w:jc w:val="both"/>
        <w:rPr>
          <w:rFonts w:ascii="Palatino Linotype" w:hAnsi="Palatino Linotype" w:cs="Arial"/>
          <w:b/>
          <w:sz w:val="24"/>
          <w:szCs w:val="24"/>
        </w:rPr>
      </w:pPr>
      <w:r w:rsidRPr="006773C0">
        <w:rPr>
          <w:rFonts w:ascii="Palatino Linotype" w:hAnsi="Palatino Linotype" w:cs="Arial"/>
          <w:b/>
          <w:sz w:val="24"/>
          <w:szCs w:val="24"/>
        </w:rPr>
        <w:t>Línea argumentativa:</w:t>
      </w:r>
    </w:p>
    <w:p w:rsidR="00E919D3" w:rsidRPr="006773C0" w:rsidRDefault="00E919D3" w:rsidP="00625340">
      <w:pPr>
        <w:spacing w:after="0" w:line="360" w:lineRule="auto"/>
        <w:jc w:val="both"/>
        <w:rPr>
          <w:rFonts w:ascii="Palatino Linotype" w:hAnsi="Palatino Linotype" w:cs="Arial"/>
          <w:b/>
          <w:sz w:val="24"/>
          <w:szCs w:val="24"/>
        </w:rPr>
      </w:pPr>
    </w:p>
    <w:p w:rsidR="0018271F" w:rsidRPr="00CB13F0" w:rsidRDefault="00CB13F0" w:rsidP="00CB13F0">
      <w:pPr>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El presente voto particular establece que, como reparación a la afectación provocada al derecho de acceso a la información por la omisión a dar atención y seguimiento a las solicitudes de información, en los casos que proceda la entrega de la información y ésta genere algún costo, deberá ser cubierto por el Sujeto Obligado de conformidad con lo establecido en los artículos 165 tercer párrafo y 234 de la Ley de Transparencia y Acceso a la Información Pública del Estado de México y Municipios.</w:t>
      </w:r>
      <w:r w:rsidR="0018271F">
        <w:rPr>
          <w:rFonts w:ascii="Palatino Linotype" w:hAnsi="Palatino Linotype" w:cs="Arial"/>
          <w:bCs/>
          <w:sz w:val="24"/>
          <w:szCs w:val="24"/>
        </w:rPr>
        <w:t xml:space="preserve"> </w:t>
      </w:r>
    </w:p>
    <w:sdt>
      <w:sdtPr>
        <w:rPr>
          <w:rFonts w:asciiTheme="minorHAnsi" w:eastAsiaTheme="minorHAnsi" w:hAnsiTheme="minorHAnsi" w:cstheme="minorBidi"/>
          <w:b w:val="0"/>
          <w:sz w:val="22"/>
          <w:szCs w:val="22"/>
          <w:lang w:val="es-ES" w:eastAsia="en-US"/>
        </w:rPr>
        <w:id w:val="-1339223820"/>
        <w:docPartObj>
          <w:docPartGallery w:val="Table of Contents"/>
          <w:docPartUnique/>
        </w:docPartObj>
      </w:sdtPr>
      <w:sdtEndPr>
        <w:rPr>
          <w:rFonts w:ascii="Palatino Linotype" w:hAnsi="Palatino Linotype"/>
          <w:bCs/>
          <w:sz w:val="24"/>
          <w:szCs w:val="24"/>
        </w:rPr>
      </w:sdtEndPr>
      <w:sdtContent>
        <w:p w:rsidR="00625340" w:rsidRPr="00E919D3" w:rsidRDefault="00625340">
          <w:pPr>
            <w:pStyle w:val="TtulodeTDC"/>
            <w:rPr>
              <w:b w:val="0"/>
              <w:szCs w:val="24"/>
              <w:lang w:val="es-ES"/>
            </w:rPr>
          </w:pPr>
          <w:r w:rsidRPr="00E919D3">
            <w:rPr>
              <w:b w:val="0"/>
              <w:szCs w:val="24"/>
              <w:lang w:val="es-ES"/>
            </w:rPr>
            <w:t>Índice</w:t>
          </w:r>
        </w:p>
        <w:p w:rsidR="00CB13F0" w:rsidRPr="00E919D3" w:rsidRDefault="00CB13F0" w:rsidP="00CB13F0">
          <w:pPr>
            <w:rPr>
              <w:lang w:val="es-ES" w:eastAsia="es-MX"/>
            </w:rPr>
          </w:pPr>
        </w:p>
        <w:p w:rsidR="00E919D3" w:rsidRPr="00E919D3" w:rsidRDefault="00625340">
          <w:pPr>
            <w:pStyle w:val="TDC1"/>
            <w:tabs>
              <w:tab w:val="left" w:pos="440"/>
              <w:tab w:val="right" w:leader="dot" w:pos="8828"/>
            </w:tabs>
            <w:rPr>
              <w:rFonts w:ascii="Palatino Linotype" w:eastAsiaTheme="minorEastAsia" w:hAnsi="Palatino Linotype"/>
              <w:noProof/>
              <w:lang w:eastAsia="es-MX"/>
            </w:rPr>
          </w:pPr>
          <w:r w:rsidRPr="00E919D3">
            <w:rPr>
              <w:rFonts w:ascii="Palatino Linotype" w:hAnsi="Palatino Linotype"/>
              <w:sz w:val="24"/>
              <w:szCs w:val="24"/>
            </w:rPr>
            <w:fldChar w:fldCharType="begin"/>
          </w:r>
          <w:r w:rsidRPr="00E919D3">
            <w:rPr>
              <w:rFonts w:ascii="Palatino Linotype" w:hAnsi="Palatino Linotype"/>
              <w:sz w:val="24"/>
              <w:szCs w:val="24"/>
            </w:rPr>
            <w:instrText xml:space="preserve"> TOC \o "1-3" \h \z \u </w:instrText>
          </w:r>
          <w:r w:rsidRPr="00E919D3">
            <w:rPr>
              <w:rFonts w:ascii="Palatino Linotype" w:hAnsi="Palatino Linotype"/>
              <w:sz w:val="24"/>
              <w:szCs w:val="24"/>
            </w:rPr>
            <w:fldChar w:fldCharType="separate"/>
          </w:r>
          <w:hyperlink w:anchor="_Toc15298361" w:history="1">
            <w:r w:rsidR="00E919D3" w:rsidRPr="00E919D3">
              <w:rPr>
                <w:rStyle w:val="Hipervnculo"/>
                <w:rFonts w:ascii="Palatino Linotype" w:hAnsi="Palatino Linotype"/>
                <w:noProof/>
              </w:rPr>
              <w:t>I.</w:t>
            </w:r>
            <w:r w:rsidR="00E919D3" w:rsidRPr="00E919D3">
              <w:rPr>
                <w:rFonts w:ascii="Palatino Linotype" w:eastAsiaTheme="minorEastAsia" w:hAnsi="Palatino Linotype"/>
                <w:noProof/>
                <w:lang w:eastAsia="es-MX"/>
              </w:rPr>
              <w:tab/>
            </w:r>
            <w:r w:rsidR="00E919D3" w:rsidRPr="00E919D3">
              <w:rPr>
                <w:rStyle w:val="Hipervnculo"/>
                <w:rFonts w:ascii="Palatino Linotype" w:hAnsi="Palatino Linotype"/>
                <w:noProof/>
              </w:rPr>
              <w:t>Consideraciones Generales</w:t>
            </w:r>
            <w:r w:rsidR="00E919D3" w:rsidRPr="00E919D3">
              <w:rPr>
                <w:rFonts w:ascii="Palatino Linotype" w:hAnsi="Palatino Linotype"/>
                <w:noProof/>
                <w:webHidden/>
              </w:rPr>
              <w:tab/>
            </w:r>
            <w:r w:rsidR="00E919D3" w:rsidRPr="00E919D3">
              <w:rPr>
                <w:rFonts w:ascii="Palatino Linotype" w:hAnsi="Palatino Linotype"/>
                <w:noProof/>
                <w:webHidden/>
              </w:rPr>
              <w:fldChar w:fldCharType="begin"/>
            </w:r>
            <w:r w:rsidR="00E919D3" w:rsidRPr="00E919D3">
              <w:rPr>
                <w:rFonts w:ascii="Palatino Linotype" w:hAnsi="Palatino Linotype"/>
                <w:noProof/>
                <w:webHidden/>
              </w:rPr>
              <w:instrText xml:space="preserve"> PAGEREF _Toc15298361 \h </w:instrText>
            </w:r>
            <w:r w:rsidR="00E919D3" w:rsidRPr="00E919D3">
              <w:rPr>
                <w:rFonts w:ascii="Palatino Linotype" w:hAnsi="Palatino Linotype"/>
                <w:noProof/>
                <w:webHidden/>
              </w:rPr>
            </w:r>
            <w:r w:rsidR="00E919D3" w:rsidRPr="00E919D3">
              <w:rPr>
                <w:rFonts w:ascii="Palatino Linotype" w:hAnsi="Palatino Linotype"/>
                <w:noProof/>
                <w:webHidden/>
              </w:rPr>
              <w:fldChar w:fldCharType="separate"/>
            </w:r>
            <w:r w:rsidR="00B72E69">
              <w:rPr>
                <w:rFonts w:ascii="Palatino Linotype" w:hAnsi="Palatino Linotype"/>
                <w:noProof/>
                <w:webHidden/>
              </w:rPr>
              <w:t>2</w:t>
            </w:r>
            <w:r w:rsidR="00E919D3" w:rsidRPr="00E919D3">
              <w:rPr>
                <w:rFonts w:ascii="Palatino Linotype" w:hAnsi="Palatino Linotype"/>
                <w:noProof/>
                <w:webHidden/>
              </w:rPr>
              <w:fldChar w:fldCharType="end"/>
            </w:r>
          </w:hyperlink>
        </w:p>
        <w:p w:rsidR="00E919D3" w:rsidRPr="00E919D3" w:rsidRDefault="00FA1A6E" w:rsidP="00E919D3">
          <w:pPr>
            <w:pStyle w:val="TDC1"/>
            <w:tabs>
              <w:tab w:val="left" w:pos="440"/>
              <w:tab w:val="right" w:leader="dot" w:pos="8828"/>
            </w:tabs>
            <w:rPr>
              <w:rFonts w:ascii="Palatino Linotype" w:eastAsiaTheme="minorEastAsia" w:hAnsi="Palatino Linotype"/>
              <w:noProof/>
              <w:lang w:eastAsia="es-MX"/>
            </w:rPr>
          </w:pPr>
          <w:hyperlink w:anchor="_Toc15298362" w:history="1">
            <w:r w:rsidR="00E919D3" w:rsidRPr="00E919D3">
              <w:rPr>
                <w:rStyle w:val="Hipervnculo"/>
                <w:rFonts w:ascii="Palatino Linotype" w:eastAsiaTheme="majorEastAsia" w:hAnsi="Palatino Linotype" w:cs="Arial"/>
                <w:iCs/>
                <w:noProof/>
              </w:rPr>
              <w:t>II.</w:t>
            </w:r>
            <w:r w:rsidR="00E919D3" w:rsidRPr="00E919D3">
              <w:rPr>
                <w:rFonts w:ascii="Palatino Linotype" w:eastAsiaTheme="minorEastAsia" w:hAnsi="Palatino Linotype"/>
                <w:noProof/>
                <w:lang w:eastAsia="es-MX"/>
              </w:rPr>
              <w:tab/>
            </w:r>
            <w:r w:rsidR="00E919D3" w:rsidRPr="00E919D3">
              <w:rPr>
                <w:rStyle w:val="Hipervnculo"/>
                <w:rFonts w:ascii="Palatino Linotype" w:eastAsiaTheme="majorEastAsia" w:hAnsi="Palatino Linotype" w:cs="Arial"/>
                <w:iCs/>
                <w:noProof/>
              </w:rPr>
              <w:t>De los Requerimientos planteados en el recurso de revisión</w:t>
            </w:r>
            <w:r w:rsidR="00E919D3" w:rsidRPr="00E919D3">
              <w:rPr>
                <w:rFonts w:ascii="Palatino Linotype" w:hAnsi="Palatino Linotype"/>
                <w:noProof/>
                <w:webHidden/>
              </w:rPr>
              <w:tab/>
            </w:r>
            <w:r w:rsidR="00E919D3" w:rsidRPr="00E919D3">
              <w:rPr>
                <w:rFonts w:ascii="Palatino Linotype" w:hAnsi="Palatino Linotype"/>
                <w:noProof/>
                <w:webHidden/>
              </w:rPr>
              <w:fldChar w:fldCharType="begin"/>
            </w:r>
            <w:r w:rsidR="00E919D3" w:rsidRPr="00E919D3">
              <w:rPr>
                <w:rFonts w:ascii="Palatino Linotype" w:hAnsi="Palatino Linotype"/>
                <w:noProof/>
                <w:webHidden/>
              </w:rPr>
              <w:instrText xml:space="preserve"> PAGEREF _Toc15298362 \h </w:instrText>
            </w:r>
            <w:r w:rsidR="00E919D3" w:rsidRPr="00E919D3">
              <w:rPr>
                <w:rFonts w:ascii="Palatino Linotype" w:hAnsi="Palatino Linotype"/>
                <w:noProof/>
                <w:webHidden/>
              </w:rPr>
            </w:r>
            <w:r w:rsidR="00E919D3" w:rsidRPr="00E919D3">
              <w:rPr>
                <w:rFonts w:ascii="Palatino Linotype" w:hAnsi="Palatino Linotype"/>
                <w:noProof/>
                <w:webHidden/>
              </w:rPr>
              <w:fldChar w:fldCharType="separate"/>
            </w:r>
            <w:r w:rsidR="00B72E69">
              <w:rPr>
                <w:rFonts w:ascii="Palatino Linotype" w:hAnsi="Palatino Linotype"/>
                <w:noProof/>
                <w:webHidden/>
              </w:rPr>
              <w:t>4</w:t>
            </w:r>
            <w:r w:rsidR="00E919D3" w:rsidRPr="00E919D3">
              <w:rPr>
                <w:rFonts w:ascii="Palatino Linotype" w:hAnsi="Palatino Linotype"/>
                <w:noProof/>
                <w:webHidden/>
              </w:rPr>
              <w:fldChar w:fldCharType="end"/>
            </w:r>
          </w:hyperlink>
        </w:p>
        <w:p w:rsidR="00E919D3" w:rsidRPr="00E919D3" w:rsidRDefault="00FA1A6E" w:rsidP="00E919D3">
          <w:pPr>
            <w:pStyle w:val="TDC1"/>
            <w:tabs>
              <w:tab w:val="left" w:pos="440"/>
              <w:tab w:val="right" w:leader="dot" w:pos="8828"/>
            </w:tabs>
            <w:rPr>
              <w:rFonts w:ascii="Palatino Linotype" w:eastAsiaTheme="minorEastAsia" w:hAnsi="Palatino Linotype"/>
              <w:noProof/>
              <w:lang w:eastAsia="es-MX"/>
            </w:rPr>
          </w:pPr>
          <w:hyperlink w:anchor="_Toc15298363" w:history="1">
            <w:r w:rsidR="00E919D3" w:rsidRPr="00E919D3">
              <w:rPr>
                <w:rStyle w:val="Hipervnculo"/>
                <w:rFonts w:ascii="Palatino Linotype" w:eastAsiaTheme="majorEastAsia" w:hAnsi="Palatino Linotype" w:cs="Arial"/>
                <w:iCs/>
                <w:noProof/>
              </w:rPr>
              <w:t>III.</w:t>
            </w:r>
            <w:r w:rsidR="00E919D3" w:rsidRPr="00E919D3">
              <w:rPr>
                <w:rFonts w:ascii="Palatino Linotype" w:eastAsiaTheme="minorEastAsia" w:hAnsi="Palatino Linotype"/>
                <w:noProof/>
                <w:lang w:eastAsia="es-MX"/>
              </w:rPr>
              <w:tab/>
            </w:r>
            <w:r w:rsidR="00E919D3" w:rsidRPr="00E919D3">
              <w:rPr>
                <w:rStyle w:val="Hipervnculo"/>
                <w:rFonts w:ascii="Palatino Linotype" w:eastAsiaTheme="majorEastAsia" w:hAnsi="Palatino Linotype" w:cs="Arial"/>
                <w:iCs/>
                <w:noProof/>
              </w:rPr>
              <w:t>Del Derecho de Acceso a la Información Pública.</w:t>
            </w:r>
            <w:r w:rsidR="00E919D3" w:rsidRPr="00E919D3">
              <w:rPr>
                <w:rFonts w:ascii="Palatino Linotype" w:hAnsi="Palatino Linotype"/>
                <w:noProof/>
                <w:webHidden/>
              </w:rPr>
              <w:tab/>
            </w:r>
            <w:r w:rsidR="00E919D3" w:rsidRPr="00E919D3">
              <w:rPr>
                <w:rFonts w:ascii="Palatino Linotype" w:hAnsi="Palatino Linotype"/>
                <w:noProof/>
                <w:webHidden/>
              </w:rPr>
              <w:fldChar w:fldCharType="begin"/>
            </w:r>
            <w:r w:rsidR="00E919D3" w:rsidRPr="00E919D3">
              <w:rPr>
                <w:rFonts w:ascii="Palatino Linotype" w:hAnsi="Palatino Linotype"/>
                <w:noProof/>
                <w:webHidden/>
              </w:rPr>
              <w:instrText xml:space="preserve"> PAGEREF _Toc15298363 \h </w:instrText>
            </w:r>
            <w:r w:rsidR="00E919D3" w:rsidRPr="00E919D3">
              <w:rPr>
                <w:rFonts w:ascii="Palatino Linotype" w:hAnsi="Palatino Linotype"/>
                <w:noProof/>
                <w:webHidden/>
              </w:rPr>
            </w:r>
            <w:r w:rsidR="00E919D3" w:rsidRPr="00E919D3">
              <w:rPr>
                <w:rFonts w:ascii="Palatino Linotype" w:hAnsi="Palatino Linotype"/>
                <w:noProof/>
                <w:webHidden/>
              </w:rPr>
              <w:fldChar w:fldCharType="separate"/>
            </w:r>
            <w:r w:rsidR="00B72E69">
              <w:rPr>
                <w:rFonts w:ascii="Palatino Linotype" w:hAnsi="Palatino Linotype"/>
                <w:noProof/>
                <w:webHidden/>
              </w:rPr>
              <w:t>5</w:t>
            </w:r>
            <w:r w:rsidR="00E919D3" w:rsidRPr="00E919D3">
              <w:rPr>
                <w:rFonts w:ascii="Palatino Linotype" w:hAnsi="Palatino Linotype"/>
                <w:noProof/>
                <w:webHidden/>
              </w:rPr>
              <w:fldChar w:fldCharType="end"/>
            </w:r>
          </w:hyperlink>
        </w:p>
        <w:p w:rsidR="00E919D3" w:rsidRPr="00E919D3" w:rsidRDefault="00FA1A6E" w:rsidP="00E919D3">
          <w:pPr>
            <w:pStyle w:val="TDC1"/>
            <w:tabs>
              <w:tab w:val="left" w:pos="440"/>
              <w:tab w:val="right" w:leader="dot" w:pos="8828"/>
            </w:tabs>
            <w:rPr>
              <w:rFonts w:ascii="Palatino Linotype" w:eastAsiaTheme="minorEastAsia" w:hAnsi="Palatino Linotype"/>
              <w:noProof/>
              <w:lang w:eastAsia="es-MX"/>
            </w:rPr>
          </w:pPr>
          <w:hyperlink w:anchor="_Toc15298364" w:history="1">
            <w:r w:rsidR="00E919D3" w:rsidRPr="00E919D3">
              <w:rPr>
                <w:rStyle w:val="Hipervnculo"/>
                <w:rFonts w:ascii="Palatino Linotype" w:eastAsiaTheme="majorEastAsia" w:hAnsi="Palatino Linotype" w:cs="Arial"/>
                <w:iCs/>
                <w:noProof/>
              </w:rPr>
              <w:t>IV.</w:t>
            </w:r>
            <w:r w:rsidR="00E919D3" w:rsidRPr="00E919D3">
              <w:rPr>
                <w:rFonts w:ascii="Palatino Linotype" w:eastAsiaTheme="minorEastAsia" w:hAnsi="Palatino Linotype"/>
                <w:noProof/>
                <w:lang w:eastAsia="es-MX"/>
              </w:rPr>
              <w:tab/>
            </w:r>
            <w:r w:rsidR="00E919D3" w:rsidRPr="00E919D3">
              <w:rPr>
                <w:rStyle w:val="Hipervnculo"/>
                <w:rFonts w:ascii="Palatino Linotype" w:eastAsiaTheme="majorEastAsia" w:hAnsi="Palatino Linotype" w:cs="Arial"/>
                <w:iCs/>
                <w:noProof/>
              </w:rPr>
              <w:t>Las garantías primarias del derecho de acceso a la información pública.</w:t>
            </w:r>
            <w:r w:rsidR="00E919D3" w:rsidRPr="00E919D3">
              <w:rPr>
                <w:rFonts w:ascii="Palatino Linotype" w:hAnsi="Palatino Linotype"/>
                <w:noProof/>
                <w:webHidden/>
              </w:rPr>
              <w:tab/>
            </w:r>
            <w:r w:rsidR="00E919D3" w:rsidRPr="00E919D3">
              <w:rPr>
                <w:rFonts w:ascii="Palatino Linotype" w:hAnsi="Palatino Linotype"/>
                <w:noProof/>
                <w:webHidden/>
              </w:rPr>
              <w:fldChar w:fldCharType="begin"/>
            </w:r>
            <w:r w:rsidR="00E919D3" w:rsidRPr="00E919D3">
              <w:rPr>
                <w:rFonts w:ascii="Palatino Linotype" w:hAnsi="Palatino Linotype"/>
                <w:noProof/>
                <w:webHidden/>
              </w:rPr>
              <w:instrText xml:space="preserve"> PAGEREF _Toc15298364 \h </w:instrText>
            </w:r>
            <w:r w:rsidR="00E919D3" w:rsidRPr="00E919D3">
              <w:rPr>
                <w:rFonts w:ascii="Palatino Linotype" w:hAnsi="Palatino Linotype"/>
                <w:noProof/>
                <w:webHidden/>
              </w:rPr>
            </w:r>
            <w:r w:rsidR="00E919D3" w:rsidRPr="00E919D3">
              <w:rPr>
                <w:rFonts w:ascii="Palatino Linotype" w:hAnsi="Palatino Linotype"/>
                <w:noProof/>
                <w:webHidden/>
              </w:rPr>
              <w:fldChar w:fldCharType="separate"/>
            </w:r>
            <w:r w:rsidR="00B72E69">
              <w:rPr>
                <w:rFonts w:ascii="Palatino Linotype" w:hAnsi="Palatino Linotype"/>
                <w:noProof/>
                <w:webHidden/>
              </w:rPr>
              <w:t>6</w:t>
            </w:r>
            <w:r w:rsidR="00E919D3" w:rsidRPr="00E919D3">
              <w:rPr>
                <w:rFonts w:ascii="Palatino Linotype" w:hAnsi="Palatino Linotype"/>
                <w:noProof/>
                <w:webHidden/>
              </w:rPr>
              <w:fldChar w:fldCharType="end"/>
            </w:r>
          </w:hyperlink>
        </w:p>
        <w:p w:rsidR="00E919D3" w:rsidRPr="00E919D3" w:rsidRDefault="00FA1A6E" w:rsidP="00E919D3">
          <w:pPr>
            <w:pStyle w:val="TDC1"/>
            <w:tabs>
              <w:tab w:val="left" w:pos="440"/>
              <w:tab w:val="right" w:leader="dot" w:pos="8828"/>
            </w:tabs>
            <w:rPr>
              <w:rFonts w:ascii="Palatino Linotype" w:eastAsiaTheme="minorEastAsia" w:hAnsi="Palatino Linotype"/>
              <w:noProof/>
              <w:lang w:eastAsia="es-MX"/>
            </w:rPr>
          </w:pPr>
          <w:hyperlink w:anchor="_Toc15298365" w:history="1">
            <w:r w:rsidR="00E919D3" w:rsidRPr="00E919D3">
              <w:rPr>
                <w:rStyle w:val="Hipervnculo"/>
                <w:rFonts w:ascii="Palatino Linotype" w:eastAsiaTheme="majorEastAsia" w:hAnsi="Palatino Linotype" w:cs="Arial"/>
                <w:iCs/>
                <w:noProof/>
              </w:rPr>
              <w:t>V.</w:t>
            </w:r>
            <w:r w:rsidR="00E919D3" w:rsidRPr="00E919D3">
              <w:rPr>
                <w:rFonts w:ascii="Palatino Linotype" w:eastAsiaTheme="minorEastAsia" w:hAnsi="Palatino Linotype"/>
                <w:noProof/>
                <w:lang w:eastAsia="es-MX"/>
              </w:rPr>
              <w:tab/>
            </w:r>
            <w:r w:rsidR="00E919D3" w:rsidRPr="00E919D3">
              <w:rPr>
                <w:rStyle w:val="Hipervnculo"/>
                <w:rFonts w:ascii="Palatino Linotype" w:eastAsiaTheme="majorEastAsia" w:hAnsi="Palatino Linotype" w:cs="Arial"/>
                <w:iCs/>
                <w:noProof/>
              </w:rPr>
              <w:t>La garantía secundaria del derecho de acceso a la información pública.</w:t>
            </w:r>
            <w:r w:rsidR="00E919D3" w:rsidRPr="00E919D3">
              <w:rPr>
                <w:rFonts w:ascii="Palatino Linotype" w:hAnsi="Palatino Linotype"/>
                <w:noProof/>
                <w:webHidden/>
              </w:rPr>
              <w:tab/>
            </w:r>
            <w:r w:rsidR="00E919D3" w:rsidRPr="00E919D3">
              <w:rPr>
                <w:rFonts w:ascii="Palatino Linotype" w:hAnsi="Palatino Linotype"/>
                <w:noProof/>
                <w:webHidden/>
              </w:rPr>
              <w:fldChar w:fldCharType="begin"/>
            </w:r>
            <w:r w:rsidR="00E919D3" w:rsidRPr="00E919D3">
              <w:rPr>
                <w:rFonts w:ascii="Palatino Linotype" w:hAnsi="Palatino Linotype"/>
                <w:noProof/>
                <w:webHidden/>
              </w:rPr>
              <w:instrText xml:space="preserve"> PAGEREF _Toc15298365 \h </w:instrText>
            </w:r>
            <w:r w:rsidR="00E919D3" w:rsidRPr="00E919D3">
              <w:rPr>
                <w:rFonts w:ascii="Palatino Linotype" w:hAnsi="Palatino Linotype"/>
                <w:noProof/>
                <w:webHidden/>
              </w:rPr>
            </w:r>
            <w:r w:rsidR="00E919D3" w:rsidRPr="00E919D3">
              <w:rPr>
                <w:rFonts w:ascii="Palatino Linotype" w:hAnsi="Palatino Linotype"/>
                <w:noProof/>
                <w:webHidden/>
              </w:rPr>
              <w:fldChar w:fldCharType="separate"/>
            </w:r>
            <w:r w:rsidR="00B72E69">
              <w:rPr>
                <w:rFonts w:ascii="Palatino Linotype" w:hAnsi="Palatino Linotype"/>
                <w:noProof/>
                <w:webHidden/>
              </w:rPr>
              <w:t>8</w:t>
            </w:r>
            <w:r w:rsidR="00E919D3" w:rsidRPr="00E919D3">
              <w:rPr>
                <w:rFonts w:ascii="Palatino Linotype" w:hAnsi="Palatino Linotype"/>
                <w:noProof/>
                <w:webHidden/>
              </w:rPr>
              <w:fldChar w:fldCharType="end"/>
            </w:r>
          </w:hyperlink>
        </w:p>
        <w:p w:rsidR="00E919D3" w:rsidRPr="00E919D3" w:rsidRDefault="00FA1A6E" w:rsidP="00E919D3">
          <w:pPr>
            <w:pStyle w:val="TDC1"/>
            <w:tabs>
              <w:tab w:val="left" w:pos="440"/>
              <w:tab w:val="right" w:leader="dot" w:pos="8828"/>
            </w:tabs>
            <w:rPr>
              <w:rFonts w:ascii="Palatino Linotype" w:eastAsiaTheme="minorEastAsia" w:hAnsi="Palatino Linotype"/>
              <w:noProof/>
              <w:lang w:eastAsia="es-MX"/>
            </w:rPr>
          </w:pPr>
          <w:hyperlink w:anchor="_Toc15298366" w:history="1">
            <w:r w:rsidR="00E919D3" w:rsidRPr="00E919D3">
              <w:rPr>
                <w:rStyle w:val="Hipervnculo"/>
                <w:rFonts w:ascii="Palatino Linotype" w:eastAsiaTheme="majorEastAsia" w:hAnsi="Palatino Linotype" w:cs="Arial"/>
                <w:iCs/>
                <w:noProof/>
              </w:rPr>
              <w:t>VI.</w:t>
            </w:r>
            <w:r w:rsidR="00E919D3" w:rsidRPr="00E919D3">
              <w:rPr>
                <w:rFonts w:ascii="Palatino Linotype" w:eastAsiaTheme="minorEastAsia" w:hAnsi="Palatino Linotype"/>
                <w:noProof/>
                <w:lang w:eastAsia="es-MX"/>
              </w:rPr>
              <w:tab/>
            </w:r>
            <w:r w:rsidR="00E919D3" w:rsidRPr="00E919D3">
              <w:rPr>
                <w:rStyle w:val="Hipervnculo"/>
                <w:rFonts w:ascii="Palatino Linotype" w:eastAsiaTheme="majorEastAsia" w:hAnsi="Palatino Linotype" w:cs="Arial"/>
                <w:iCs/>
                <w:noProof/>
              </w:rPr>
              <w:t>Consecuencias de la violación al derecho humano.</w:t>
            </w:r>
            <w:r w:rsidR="00E919D3" w:rsidRPr="00E919D3">
              <w:rPr>
                <w:rFonts w:ascii="Palatino Linotype" w:hAnsi="Palatino Linotype"/>
                <w:noProof/>
                <w:webHidden/>
              </w:rPr>
              <w:tab/>
            </w:r>
            <w:r w:rsidR="00E919D3" w:rsidRPr="00E919D3">
              <w:rPr>
                <w:rFonts w:ascii="Palatino Linotype" w:hAnsi="Palatino Linotype"/>
                <w:noProof/>
                <w:webHidden/>
              </w:rPr>
              <w:fldChar w:fldCharType="begin"/>
            </w:r>
            <w:r w:rsidR="00E919D3" w:rsidRPr="00E919D3">
              <w:rPr>
                <w:rFonts w:ascii="Palatino Linotype" w:hAnsi="Palatino Linotype"/>
                <w:noProof/>
                <w:webHidden/>
              </w:rPr>
              <w:instrText xml:space="preserve"> PAGEREF _Toc15298366 \h </w:instrText>
            </w:r>
            <w:r w:rsidR="00E919D3" w:rsidRPr="00E919D3">
              <w:rPr>
                <w:rFonts w:ascii="Palatino Linotype" w:hAnsi="Palatino Linotype"/>
                <w:noProof/>
                <w:webHidden/>
              </w:rPr>
            </w:r>
            <w:r w:rsidR="00E919D3" w:rsidRPr="00E919D3">
              <w:rPr>
                <w:rFonts w:ascii="Palatino Linotype" w:hAnsi="Palatino Linotype"/>
                <w:noProof/>
                <w:webHidden/>
              </w:rPr>
              <w:fldChar w:fldCharType="separate"/>
            </w:r>
            <w:r w:rsidR="00B72E69">
              <w:rPr>
                <w:rFonts w:ascii="Palatino Linotype" w:hAnsi="Palatino Linotype"/>
                <w:noProof/>
                <w:webHidden/>
              </w:rPr>
              <w:t>11</w:t>
            </w:r>
            <w:r w:rsidR="00E919D3" w:rsidRPr="00E919D3">
              <w:rPr>
                <w:rFonts w:ascii="Palatino Linotype" w:hAnsi="Palatino Linotype"/>
                <w:noProof/>
                <w:webHidden/>
              </w:rPr>
              <w:fldChar w:fldCharType="end"/>
            </w:r>
          </w:hyperlink>
        </w:p>
        <w:p w:rsidR="00E919D3" w:rsidRPr="00E919D3" w:rsidRDefault="00FA1A6E" w:rsidP="00E919D3">
          <w:pPr>
            <w:pStyle w:val="TDC1"/>
            <w:tabs>
              <w:tab w:val="left" w:pos="440"/>
              <w:tab w:val="right" w:leader="dot" w:pos="8828"/>
            </w:tabs>
            <w:rPr>
              <w:rStyle w:val="Hipervnculo"/>
              <w:rFonts w:ascii="Palatino Linotype" w:hAnsi="Palatino Linotype"/>
              <w:noProof/>
            </w:rPr>
          </w:pPr>
          <w:hyperlink w:anchor="_Toc15298367" w:history="1">
            <w:r w:rsidR="00E919D3" w:rsidRPr="00E919D3">
              <w:rPr>
                <w:rStyle w:val="Hipervnculo"/>
                <w:rFonts w:ascii="Palatino Linotype" w:eastAsiaTheme="majorEastAsia" w:hAnsi="Palatino Linotype" w:cs="Arial"/>
                <w:iCs/>
                <w:noProof/>
              </w:rPr>
              <w:t>VII.</w:t>
            </w:r>
            <w:r w:rsidR="00E919D3" w:rsidRPr="00E919D3">
              <w:rPr>
                <w:rFonts w:ascii="Palatino Linotype" w:eastAsiaTheme="minorEastAsia" w:hAnsi="Palatino Linotype"/>
                <w:noProof/>
                <w:lang w:eastAsia="es-MX"/>
              </w:rPr>
              <w:tab/>
            </w:r>
            <w:r w:rsidR="00E919D3" w:rsidRPr="00E919D3">
              <w:rPr>
                <w:rStyle w:val="Hipervnculo"/>
                <w:rFonts w:ascii="Palatino Linotype" w:eastAsiaTheme="majorEastAsia" w:hAnsi="Palatino Linotype" w:cs="Arial"/>
                <w:iCs/>
                <w:noProof/>
              </w:rPr>
              <w:t>Conclusión.</w:t>
            </w:r>
            <w:r w:rsidR="00E919D3" w:rsidRPr="00E919D3">
              <w:rPr>
                <w:rFonts w:ascii="Palatino Linotype" w:hAnsi="Palatino Linotype"/>
                <w:noProof/>
                <w:webHidden/>
              </w:rPr>
              <w:tab/>
            </w:r>
            <w:r w:rsidR="00E919D3" w:rsidRPr="00E919D3">
              <w:rPr>
                <w:rFonts w:ascii="Palatino Linotype" w:hAnsi="Palatino Linotype"/>
                <w:noProof/>
                <w:webHidden/>
              </w:rPr>
              <w:fldChar w:fldCharType="begin"/>
            </w:r>
            <w:r w:rsidR="00E919D3" w:rsidRPr="00E919D3">
              <w:rPr>
                <w:rFonts w:ascii="Palatino Linotype" w:hAnsi="Palatino Linotype"/>
                <w:noProof/>
                <w:webHidden/>
              </w:rPr>
              <w:instrText xml:space="preserve"> PAGEREF _Toc15298367 \h </w:instrText>
            </w:r>
            <w:r w:rsidR="00E919D3" w:rsidRPr="00E919D3">
              <w:rPr>
                <w:rFonts w:ascii="Palatino Linotype" w:hAnsi="Palatino Linotype"/>
                <w:noProof/>
                <w:webHidden/>
              </w:rPr>
            </w:r>
            <w:r w:rsidR="00E919D3" w:rsidRPr="00E919D3">
              <w:rPr>
                <w:rFonts w:ascii="Palatino Linotype" w:hAnsi="Palatino Linotype"/>
                <w:noProof/>
                <w:webHidden/>
              </w:rPr>
              <w:fldChar w:fldCharType="separate"/>
            </w:r>
            <w:r w:rsidR="00B72E69">
              <w:rPr>
                <w:rFonts w:ascii="Palatino Linotype" w:hAnsi="Palatino Linotype"/>
                <w:noProof/>
                <w:webHidden/>
              </w:rPr>
              <w:t>15</w:t>
            </w:r>
            <w:r w:rsidR="00E919D3" w:rsidRPr="00E919D3">
              <w:rPr>
                <w:rFonts w:ascii="Palatino Linotype" w:hAnsi="Palatino Linotype"/>
                <w:noProof/>
                <w:webHidden/>
              </w:rPr>
              <w:fldChar w:fldCharType="end"/>
            </w:r>
          </w:hyperlink>
        </w:p>
        <w:p w:rsidR="00E919D3" w:rsidRPr="00E919D3" w:rsidRDefault="00E919D3" w:rsidP="00E919D3">
          <w:pPr>
            <w:rPr>
              <w:noProof/>
            </w:rPr>
          </w:pPr>
        </w:p>
        <w:p w:rsidR="00625340" w:rsidRPr="0056327C" w:rsidRDefault="00625340">
          <w:pPr>
            <w:rPr>
              <w:rFonts w:ascii="Palatino Linotype" w:hAnsi="Palatino Linotype"/>
              <w:sz w:val="24"/>
              <w:szCs w:val="24"/>
            </w:rPr>
          </w:pPr>
          <w:r w:rsidRPr="00E919D3">
            <w:rPr>
              <w:rFonts w:ascii="Palatino Linotype" w:hAnsi="Palatino Linotype"/>
              <w:bCs/>
              <w:sz w:val="24"/>
              <w:szCs w:val="24"/>
              <w:lang w:val="es-ES"/>
            </w:rPr>
            <w:fldChar w:fldCharType="end"/>
          </w:r>
        </w:p>
      </w:sdtContent>
    </w:sdt>
    <w:p w:rsidR="00625340" w:rsidRDefault="00625340" w:rsidP="003431E5">
      <w:pPr>
        <w:pStyle w:val="Ttulo1"/>
        <w:numPr>
          <w:ilvl w:val="0"/>
          <w:numId w:val="15"/>
        </w:numPr>
      </w:pPr>
      <w:bookmarkStart w:id="1" w:name="_Toc15298361"/>
      <w:r w:rsidRPr="00796B57">
        <w:lastRenderedPageBreak/>
        <w:t xml:space="preserve">Consideraciones </w:t>
      </w:r>
      <w:r w:rsidRPr="00625340">
        <w:t>Generales</w:t>
      </w:r>
      <w:bookmarkEnd w:id="1"/>
    </w:p>
    <w:p w:rsidR="003431E5" w:rsidRPr="003431E5" w:rsidRDefault="003431E5" w:rsidP="003431E5"/>
    <w:p w:rsidR="00625340" w:rsidRDefault="00703F02" w:rsidP="00625340">
      <w:pPr>
        <w:pStyle w:val="Prrafodelista"/>
        <w:numPr>
          <w:ilvl w:val="0"/>
          <w:numId w:val="11"/>
        </w:numPr>
        <w:spacing w:after="0" w:line="360" w:lineRule="auto"/>
        <w:ind w:left="0"/>
        <w:jc w:val="both"/>
        <w:rPr>
          <w:rFonts w:ascii="Palatino Linotype" w:hAnsi="Palatino Linotype" w:cs="Arial"/>
          <w:b/>
          <w:sz w:val="24"/>
          <w:szCs w:val="24"/>
        </w:rPr>
      </w:pPr>
      <w:r>
        <w:rPr>
          <w:rFonts w:ascii="Palatino Linotype" w:eastAsia="Times New Roman" w:hAnsi="Palatino Linotype" w:cs="Arial"/>
          <w:sz w:val="24"/>
          <w:szCs w:val="24"/>
          <w:lang w:val="es-ES_tradnl"/>
        </w:rPr>
        <w:t xml:space="preserve">He concurrido con mi </w:t>
      </w:r>
      <w:r w:rsidR="00C02AF0">
        <w:rPr>
          <w:rFonts w:ascii="Palatino Linotype" w:eastAsia="Times New Roman" w:hAnsi="Palatino Linotype" w:cs="Arial"/>
          <w:sz w:val="24"/>
          <w:szCs w:val="24"/>
          <w:lang w:val="es-ES_tradnl"/>
        </w:rPr>
        <w:t>voto</w:t>
      </w:r>
      <w:r w:rsidR="00625340" w:rsidRPr="001C3008">
        <w:rPr>
          <w:rFonts w:ascii="Palatino Linotype" w:eastAsia="Times New Roman" w:hAnsi="Palatino Linotype" w:cs="Arial"/>
          <w:sz w:val="24"/>
          <w:szCs w:val="24"/>
          <w:lang w:val="es-ES_tradnl"/>
        </w:rPr>
        <w:t xml:space="preserve"> particular de la presente resolución emitida </w:t>
      </w:r>
      <w:r w:rsidR="00625340" w:rsidRPr="001C3008">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CB13F0">
        <w:rPr>
          <w:rFonts w:ascii="Palatino Linotype" w:hAnsi="Palatino Linotype" w:cs="Arial"/>
          <w:sz w:val="24"/>
          <w:szCs w:val="24"/>
        </w:rPr>
        <w:t xml:space="preserve">Vigésima Sexta </w:t>
      </w:r>
      <w:r w:rsidR="00175E9F">
        <w:rPr>
          <w:rFonts w:ascii="Palatino Linotype" w:hAnsi="Palatino Linotype" w:cs="Arial"/>
          <w:sz w:val="24"/>
          <w:szCs w:val="24"/>
        </w:rPr>
        <w:t xml:space="preserve">sesión ordinaria del día </w:t>
      </w:r>
      <w:r w:rsidR="00CB13F0">
        <w:rPr>
          <w:rFonts w:ascii="Palatino Linotype" w:hAnsi="Palatino Linotype" w:cs="Arial"/>
          <w:sz w:val="24"/>
          <w:szCs w:val="24"/>
        </w:rPr>
        <w:t>diez</w:t>
      </w:r>
      <w:r w:rsidR="00175E9F">
        <w:rPr>
          <w:rFonts w:ascii="Palatino Linotype" w:hAnsi="Palatino Linotype" w:cs="Arial"/>
          <w:sz w:val="24"/>
          <w:szCs w:val="24"/>
        </w:rPr>
        <w:t xml:space="preserve"> de </w:t>
      </w:r>
      <w:r w:rsidR="00CB13F0">
        <w:rPr>
          <w:rFonts w:ascii="Palatino Linotype" w:hAnsi="Palatino Linotype" w:cs="Arial"/>
          <w:sz w:val="24"/>
          <w:szCs w:val="24"/>
        </w:rPr>
        <w:t>julio</w:t>
      </w:r>
      <w:r w:rsidR="00175E9F">
        <w:rPr>
          <w:rFonts w:ascii="Palatino Linotype" w:hAnsi="Palatino Linotype" w:cs="Arial"/>
          <w:sz w:val="24"/>
          <w:szCs w:val="24"/>
        </w:rPr>
        <w:t xml:space="preserve"> de dos mil dieci</w:t>
      </w:r>
      <w:r w:rsidR="00CB13F0">
        <w:rPr>
          <w:rFonts w:ascii="Palatino Linotype" w:hAnsi="Palatino Linotype" w:cs="Arial"/>
          <w:sz w:val="24"/>
          <w:szCs w:val="24"/>
        </w:rPr>
        <w:t>nueve</w:t>
      </w:r>
      <w:r w:rsidR="00625340" w:rsidRPr="001C3008">
        <w:rPr>
          <w:rFonts w:ascii="Palatino Linotype" w:hAnsi="Palatino Linotype" w:cs="Arial"/>
          <w:sz w:val="24"/>
          <w:szCs w:val="24"/>
        </w:rPr>
        <w:t xml:space="preserve">, en </w:t>
      </w:r>
      <w:r w:rsidR="00625340">
        <w:rPr>
          <w:rFonts w:ascii="Palatino Linotype" w:hAnsi="Palatino Linotype" w:cs="Arial"/>
          <w:sz w:val="24"/>
          <w:szCs w:val="24"/>
        </w:rPr>
        <w:t>el recurso de revisión promovido</w:t>
      </w:r>
      <w:r w:rsidR="00625340" w:rsidRPr="001C3008">
        <w:rPr>
          <w:rFonts w:ascii="Palatino Linotype" w:hAnsi="Palatino Linotype" w:cs="Arial"/>
          <w:sz w:val="24"/>
          <w:szCs w:val="24"/>
        </w:rPr>
        <w:t xml:space="preserve"> </w:t>
      </w:r>
      <w:r w:rsidR="00625340">
        <w:rPr>
          <w:rFonts w:ascii="Palatino Linotype" w:hAnsi="Palatino Linotype" w:cs="Arial"/>
          <w:sz w:val="24"/>
          <w:szCs w:val="24"/>
        </w:rPr>
        <w:t>e</w:t>
      </w:r>
      <w:r w:rsidR="00625340" w:rsidRPr="001C3008">
        <w:rPr>
          <w:rFonts w:ascii="Palatino Linotype" w:hAnsi="Palatino Linotype" w:cs="Arial"/>
          <w:sz w:val="24"/>
          <w:szCs w:val="24"/>
        </w:rPr>
        <w:t xml:space="preserve">n contra de la respuesta </w:t>
      </w:r>
      <w:r w:rsidR="00B02F56">
        <w:rPr>
          <w:rFonts w:ascii="Palatino Linotype" w:hAnsi="Palatino Linotype" w:cs="Arial"/>
          <w:sz w:val="24"/>
          <w:szCs w:val="24"/>
        </w:rPr>
        <w:t>de</w:t>
      </w:r>
      <w:r w:rsidR="00F74AB6">
        <w:rPr>
          <w:rFonts w:ascii="Palatino Linotype" w:hAnsi="Palatino Linotype" w:cs="Arial"/>
          <w:sz w:val="24"/>
          <w:szCs w:val="24"/>
        </w:rPr>
        <w:t xml:space="preserve"> </w:t>
      </w:r>
      <w:r w:rsidR="00465D03">
        <w:rPr>
          <w:rFonts w:ascii="Palatino Linotype" w:hAnsi="Palatino Linotype" w:cs="Arial"/>
          <w:sz w:val="24"/>
          <w:szCs w:val="24"/>
        </w:rPr>
        <w:t>l</w:t>
      </w:r>
      <w:r w:rsidR="00F74AB6">
        <w:rPr>
          <w:rFonts w:ascii="Palatino Linotype" w:hAnsi="Palatino Linotype" w:cs="Arial"/>
          <w:sz w:val="24"/>
          <w:szCs w:val="24"/>
        </w:rPr>
        <w:t xml:space="preserve">a </w:t>
      </w:r>
      <w:r w:rsidR="00CB13F0">
        <w:rPr>
          <w:rFonts w:ascii="Palatino Linotype" w:hAnsi="Palatino Linotype" w:cs="Arial"/>
          <w:b/>
          <w:sz w:val="24"/>
          <w:szCs w:val="24"/>
        </w:rPr>
        <w:t>Ayuntamiento de Ecatepec de Morelos</w:t>
      </w:r>
      <w:r w:rsidR="00625340" w:rsidRPr="001C3008">
        <w:rPr>
          <w:rFonts w:ascii="Palatino Linotype" w:hAnsi="Palatino Linotype" w:cs="Arial"/>
          <w:sz w:val="24"/>
          <w:szCs w:val="24"/>
        </w:rPr>
        <w:t>, proce</w:t>
      </w:r>
      <w:r w:rsidR="00625340">
        <w:rPr>
          <w:rFonts w:ascii="Palatino Linotype" w:hAnsi="Palatino Linotype" w:cs="Arial"/>
          <w:sz w:val="24"/>
          <w:szCs w:val="24"/>
        </w:rPr>
        <w:t xml:space="preserve">dimiento al que se le asignó el número de expediente </w:t>
      </w:r>
      <w:r w:rsidR="00625340" w:rsidRPr="00CB13F0">
        <w:rPr>
          <w:rFonts w:ascii="Palatino Linotype" w:hAnsi="Palatino Linotype" w:cs="Arial"/>
          <w:b/>
          <w:bCs/>
          <w:sz w:val="24"/>
          <w:szCs w:val="24"/>
        </w:rPr>
        <w:t>0</w:t>
      </w:r>
      <w:r w:rsidR="00F74AB6" w:rsidRPr="00CB13F0">
        <w:rPr>
          <w:rFonts w:ascii="Palatino Linotype" w:hAnsi="Palatino Linotype" w:cs="Arial"/>
          <w:b/>
          <w:bCs/>
          <w:sz w:val="24"/>
          <w:szCs w:val="24"/>
        </w:rPr>
        <w:t>2</w:t>
      </w:r>
      <w:r w:rsidR="00CB13F0" w:rsidRPr="00CB13F0">
        <w:rPr>
          <w:rFonts w:ascii="Palatino Linotype" w:hAnsi="Palatino Linotype" w:cs="Arial"/>
          <w:b/>
          <w:bCs/>
          <w:sz w:val="24"/>
          <w:szCs w:val="24"/>
        </w:rPr>
        <w:t>922</w:t>
      </w:r>
      <w:r w:rsidR="00625340" w:rsidRPr="00CB13F0">
        <w:rPr>
          <w:rFonts w:ascii="Palatino Linotype" w:hAnsi="Palatino Linotype" w:cs="Arial"/>
          <w:b/>
          <w:bCs/>
          <w:sz w:val="24"/>
          <w:szCs w:val="24"/>
        </w:rPr>
        <w:t>/INFOEM/IP/RR/201</w:t>
      </w:r>
      <w:r w:rsidR="00CB13F0" w:rsidRPr="00CB13F0">
        <w:rPr>
          <w:rFonts w:ascii="Palatino Linotype" w:hAnsi="Palatino Linotype" w:cs="Arial"/>
          <w:b/>
          <w:bCs/>
          <w:sz w:val="24"/>
          <w:szCs w:val="24"/>
        </w:rPr>
        <w:t>9</w:t>
      </w:r>
      <w:r w:rsidR="00625340">
        <w:rPr>
          <w:rFonts w:ascii="Palatino Linotype" w:hAnsi="Palatino Linotype" w:cs="Arial"/>
          <w:b/>
          <w:sz w:val="24"/>
          <w:szCs w:val="24"/>
        </w:rPr>
        <w:t>.</w:t>
      </w:r>
    </w:p>
    <w:p w:rsidR="00625340" w:rsidRDefault="00625340" w:rsidP="00625340">
      <w:pPr>
        <w:pStyle w:val="Prrafodelista"/>
        <w:spacing w:after="0" w:line="360" w:lineRule="auto"/>
        <w:ind w:left="0"/>
        <w:jc w:val="both"/>
        <w:rPr>
          <w:rFonts w:ascii="Palatino Linotype" w:hAnsi="Palatino Linotype" w:cs="Arial"/>
          <w:b/>
          <w:sz w:val="24"/>
          <w:szCs w:val="24"/>
        </w:rPr>
      </w:pPr>
    </w:p>
    <w:p w:rsidR="003C7564" w:rsidRPr="00EE00C3" w:rsidRDefault="00F72C33" w:rsidP="003C7564">
      <w:pPr>
        <w:pStyle w:val="Prrafodelista"/>
        <w:numPr>
          <w:ilvl w:val="0"/>
          <w:numId w:val="11"/>
        </w:numPr>
        <w:spacing w:after="0" w:line="360" w:lineRule="auto"/>
        <w:ind w:left="0"/>
        <w:jc w:val="both"/>
        <w:rPr>
          <w:rFonts w:ascii="Palatino Linotype" w:hAnsi="Palatino Linotype" w:cs="Arial"/>
          <w:b/>
          <w:sz w:val="24"/>
          <w:szCs w:val="24"/>
        </w:rPr>
      </w:pPr>
      <w:r w:rsidRPr="00113A96">
        <w:rPr>
          <w:rFonts w:ascii="Palatino Linotype" w:hAnsi="Palatino Linotype" w:cs="Arial"/>
          <w:sz w:val="24"/>
          <w:szCs w:val="24"/>
        </w:rPr>
        <w:t xml:space="preserve">La resolución determina </w:t>
      </w:r>
      <w:r w:rsidR="00CB13F0">
        <w:rPr>
          <w:rFonts w:ascii="Palatino Linotype" w:hAnsi="Palatino Linotype" w:cs="Arial"/>
          <w:sz w:val="24"/>
          <w:szCs w:val="24"/>
        </w:rPr>
        <w:t>revocar</w:t>
      </w:r>
      <w:r w:rsidR="00F74AB6" w:rsidRPr="00113A96">
        <w:rPr>
          <w:rFonts w:ascii="Palatino Linotype" w:hAnsi="Palatino Linotype" w:cs="Arial"/>
          <w:sz w:val="24"/>
          <w:szCs w:val="24"/>
        </w:rPr>
        <w:t xml:space="preserve"> la respuesta del </w:t>
      </w:r>
      <w:r w:rsidR="00F74AB6" w:rsidRPr="00113A96">
        <w:rPr>
          <w:rFonts w:ascii="Palatino Linotype" w:hAnsi="Palatino Linotype" w:cs="Arial"/>
          <w:b/>
          <w:sz w:val="24"/>
          <w:szCs w:val="24"/>
        </w:rPr>
        <w:t xml:space="preserve">SUJETO OBLIGADO </w:t>
      </w:r>
      <w:r w:rsidR="00CB13F0">
        <w:rPr>
          <w:rFonts w:ascii="Palatino Linotype" w:hAnsi="Palatino Linotype" w:cs="Arial"/>
          <w:sz w:val="24"/>
          <w:szCs w:val="24"/>
        </w:rPr>
        <w:t xml:space="preserve">y se </w:t>
      </w:r>
      <w:r w:rsidR="00CB13F0">
        <w:rPr>
          <w:rFonts w:ascii="Palatino Linotype" w:hAnsi="Palatino Linotype" w:cs="Arial"/>
          <w:b/>
          <w:sz w:val="24"/>
          <w:szCs w:val="24"/>
        </w:rPr>
        <w:t xml:space="preserve">ORDENA </w:t>
      </w:r>
      <w:r w:rsidR="00CB13F0">
        <w:rPr>
          <w:rFonts w:ascii="Palatino Linotype" w:hAnsi="Palatino Linotype" w:cs="Arial"/>
          <w:sz w:val="24"/>
          <w:szCs w:val="24"/>
        </w:rPr>
        <w:t xml:space="preserve">atienda la solicitud </w:t>
      </w:r>
      <w:r w:rsidR="00CB13F0">
        <w:rPr>
          <w:rFonts w:ascii="Palatino Linotype" w:hAnsi="Palatino Linotype" w:cs="Arial"/>
          <w:b/>
          <w:sz w:val="24"/>
          <w:szCs w:val="24"/>
        </w:rPr>
        <w:t xml:space="preserve">00087/ECATEPEC/IP/2019  </w:t>
      </w:r>
      <w:r w:rsidR="00CB13F0">
        <w:rPr>
          <w:rFonts w:ascii="Palatino Linotype" w:hAnsi="Palatino Linotype" w:cs="Arial"/>
          <w:sz w:val="24"/>
          <w:szCs w:val="24"/>
        </w:rPr>
        <w:t xml:space="preserve">en términos del Considerando </w:t>
      </w:r>
      <w:r w:rsidR="00CB13F0">
        <w:rPr>
          <w:rFonts w:ascii="Palatino Linotype" w:hAnsi="Palatino Linotype" w:cs="Arial"/>
          <w:b/>
          <w:sz w:val="24"/>
          <w:szCs w:val="24"/>
        </w:rPr>
        <w:t xml:space="preserve">QUINTO </w:t>
      </w:r>
      <w:r w:rsidR="00CB13F0">
        <w:rPr>
          <w:rFonts w:ascii="Palatino Linotype" w:hAnsi="Palatino Linotype" w:cs="Arial"/>
          <w:sz w:val="24"/>
          <w:szCs w:val="24"/>
        </w:rPr>
        <w:t xml:space="preserve">de la resolución y haga entrega a la </w:t>
      </w:r>
      <w:r w:rsidR="00CB13F0">
        <w:rPr>
          <w:rFonts w:ascii="Palatino Linotype" w:hAnsi="Palatino Linotype" w:cs="Arial"/>
          <w:b/>
          <w:sz w:val="24"/>
          <w:szCs w:val="24"/>
        </w:rPr>
        <w:t xml:space="preserve">RECURRENTE, </w:t>
      </w:r>
      <w:r w:rsidR="00CB13F0">
        <w:rPr>
          <w:rFonts w:ascii="Palatino Linotype" w:hAnsi="Palatino Linotype" w:cs="Arial"/>
          <w:sz w:val="24"/>
          <w:szCs w:val="24"/>
        </w:rPr>
        <w:t xml:space="preserve">vía SAIMEX y en </w:t>
      </w:r>
      <w:r w:rsidR="00CB13F0">
        <w:rPr>
          <w:rFonts w:ascii="Palatino Linotype" w:hAnsi="Palatino Linotype" w:cs="Arial"/>
          <w:b/>
          <w:sz w:val="24"/>
          <w:szCs w:val="24"/>
        </w:rPr>
        <w:t xml:space="preserve">copias certificadas (con costo), </w:t>
      </w:r>
      <w:r w:rsidR="00CB13F0">
        <w:rPr>
          <w:rFonts w:ascii="Palatino Linotype" w:hAnsi="Palatino Linotype" w:cs="Arial"/>
          <w:sz w:val="24"/>
          <w:szCs w:val="24"/>
        </w:rPr>
        <w:t xml:space="preserve">de ser procedente en versión pública, lo siguiente: </w:t>
      </w:r>
    </w:p>
    <w:p w:rsidR="00EE00C3" w:rsidRPr="00EE00C3" w:rsidRDefault="00EE00C3" w:rsidP="00EE00C3">
      <w:pPr>
        <w:pStyle w:val="Prrafodelista"/>
        <w:rPr>
          <w:rFonts w:ascii="Palatino Linotype" w:hAnsi="Palatino Linotype" w:cs="Arial"/>
          <w:b/>
          <w:sz w:val="24"/>
          <w:szCs w:val="24"/>
        </w:rPr>
      </w:pPr>
    </w:p>
    <w:p w:rsidR="00EE00C3" w:rsidRPr="0016529C" w:rsidRDefault="00EE00C3" w:rsidP="00EE00C3">
      <w:pPr>
        <w:spacing w:line="360" w:lineRule="auto"/>
        <w:ind w:left="851" w:right="616"/>
        <w:jc w:val="both"/>
        <w:rPr>
          <w:rFonts w:ascii="Palatino Linotype" w:hAnsi="Palatino Linotype"/>
          <w:i/>
          <w:iCs/>
          <w:color w:val="222222"/>
          <w:lang w:eastAsia="es-MX"/>
        </w:rPr>
      </w:pPr>
      <w:r w:rsidRPr="0016529C">
        <w:rPr>
          <w:rFonts w:ascii="Palatino Linotype" w:hAnsi="Palatino Linotype"/>
          <w:i/>
          <w:iCs/>
          <w:color w:val="222222"/>
          <w:lang w:eastAsia="es-MX"/>
        </w:rPr>
        <w:t>“a) Los Títulos en donde se advierta el grado de estudios del Presidente Municipal y Directores adscritos al 20 de febrero de 2019.</w:t>
      </w:r>
    </w:p>
    <w:p w:rsidR="00EE00C3" w:rsidRPr="0016529C" w:rsidRDefault="00EE00C3" w:rsidP="00EE00C3">
      <w:pPr>
        <w:spacing w:line="360" w:lineRule="auto"/>
        <w:ind w:left="851" w:right="616"/>
        <w:jc w:val="both"/>
        <w:rPr>
          <w:rFonts w:ascii="Palatino Linotype" w:hAnsi="Palatino Linotype"/>
          <w:i/>
          <w:iCs/>
          <w:color w:val="222222"/>
          <w:lang w:eastAsia="es-MX"/>
        </w:rPr>
      </w:pPr>
      <w:r w:rsidRPr="0016529C">
        <w:rPr>
          <w:rFonts w:ascii="Palatino Linotype" w:hAnsi="Palatino Linotype"/>
          <w:i/>
          <w:iCs/>
          <w:color w:val="222222"/>
          <w:lang w:eastAsia="es-MX"/>
        </w:rPr>
        <w:t xml:space="preserve">b) Las Cédulas en donde se advierta el grado de estudios del Presidente Municipal y Directores adscritos al 20 de febrero de 2019. Para el caso de que </w:t>
      </w:r>
      <w:r w:rsidRPr="0016529C">
        <w:rPr>
          <w:rFonts w:ascii="Palatino Linotype" w:hAnsi="Palatino Linotype"/>
          <w:b/>
          <w:i/>
          <w:iCs/>
          <w:color w:val="222222"/>
          <w:lang w:eastAsia="es-MX"/>
        </w:rPr>
        <w:t>EL SUJETO OBLIGADO</w:t>
      </w:r>
      <w:r w:rsidRPr="0016529C">
        <w:rPr>
          <w:rFonts w:ascii="Palatino Linotype" w:hAnsi="Palatino Linotype"/>
          <w:i/>
          <w:iCs/>
          <w:color w:val="222222"/>
          <w:lang w:eastAsia="es-MX"/>
        </w:rPr>
        <w:t xml:space="preserve"> no cuente con las cédulas profesionales de los servidores públicos de los que se ordena la entrega, deberá hacerlo del conocimiento de </w:t>
      </w:r>
      <w:r w:rsidRPr="0016529C">
        <w:rPr>
          <w:rFonts w:ascii="Palatino Linotype" w:hAnsi="Palatino Linotype"/>
          <w:b/>
          <w:i/>
          <w:iCs/>
          <w:color w:val="222222"/>
          <w:lang w:eastAsia="es-MX"/>
        </w:rPr>
        <w:t>LA</w:t>
      </w:r>
      <w:r w:rsidRPr="0016529C">
        <w:rPr>
          <w:rFonts w:ascii="Palatino Linotype" w:hAnsi="Palatino Linotype"/>
          <w:i/>
          <w:iCs/>
          <w:color w:val="222222"/>
          <w:lang w:eastAsia="es-MX"/>
        </w:rPr>
        <w:t xml:space="preserve"> </w:t>
      </w:r>
      <w:r w:rsidRPr="0016529C">
        <w:rPr>
          <w:rFonts w:ascii="Palatino Linotype" w:hAnsi="Palatino Linotype"/>
          <w:b/>
          <w:i/>
          <w:iCs/>
          <w:color w:val="222222"/>
          <w:lang w:eastAsia="es-MX"/>
        </w:rPr>
        <w:t>RECURRENTE</w:t>
      </w:r>
      <w:r w:rsidRPr="0016529C">
        <w:rPr>
          <w:rFonts w:ascii="Palatino Linotype" w:hAnsi="Palatino Linotype"/>
          <w:i/>
          <w:iCs/>
          <w:color w:val="222222"/>
          <w:lang w:eastAsia="es-MX"/>
        </w:rPr>
        <w:t>.</w:t>
      </w:r>
    </w:p>
    <w:p w:rsidR="00EE00C3" w:rsidRPr="0016529C" w:rsidRDefault="00EE00C3" w:rsidP="00EE00C3">
      <w:pPr>
        <w:spacing w:line="360" w:lineRule="auto"/>
        <w:ind w:left="851" w:right="616"/>
        <w:jc w:val="both"/>
        <w:rPr>
          <w:rFonts w:ascii="Palatino Linotype" w:hAnsi="Palatino Linotype"/>
          <w:i/>
          <w:iCs/>
          <w:color w:val="222222"/>
          <w:lang w:eastAsia="es-MX"/>
        </w:rPr>
      </w:pPr>
      <w:r w:rsidRPr="0016529C">
        <w:rPr>
          <w:rFonts w:ascii="Palatino Linotype" w:hAnsi="Palatino Linotype"/>
          <w:i/>
          <w:iCs/>
          <w:color w:val="222222"/>
          <w:lang w:eastAsia="es-MX"/>
        </w:rPr>
        <w:lastRenderedPageBreak/>
        <w:t xml:space="preserve">Debiendo notificar a </w:t>
      </w:r>
      <w:r w:rsidRPr="0016529C">
        <w:rPr>
          <w:rFonts w:ascii="Palatino Linotype" w:hAnsi="Palatino Linotype"/>
          <w:b/>
          <w:i/>
          <w:iCs/>
          <w:color w:val="222222"/>
          <w:lang w:eastAsia="es-MX"/>
        </w:rPr>
        <w:t>LA</w:t>
      </w:r>
      <w:r w:rsidRPr="0016529C">
        <w:rPr>
          <w:rFonts w:ascii="Palatino Linotype" w:hAnsi="Palatino Linotype"/>
          <w:i/>
          <w:iCs/>
          <w:color w:val="222222"/>
          <w:lang w:eastAsia="es-MX"/>
        </w:rPr>
        <w:t xml:space="preserve"> </w:t>
      </w:r>
      <w:r w:rsidRPr="0016529C">
        <w:rPr>
          <w:rFonts w:ascii="Palatino Linotype" w:hAnsi="Palatino Linotype"/>
          <w:b/>
          <w:i/>
          <w:iCs/>
          <w:color w:val="222222"/>
          <w:lang w:eastAsia="es-MX"/>
        </w:rPr>
        <w:t>RECURRENTE</w:t>
      </w:r>
      <w:r w:rsidRPr="0016529C">
        <w:rPr>
          <w:rFonts w:ascii="Palatino Linotype" w:hAnsi="Palatino Linotype"/>
          <w:i/>
          <w:iCs/>
          <w:color w:val="222222"/>
          <w:lang w:eastAsia="es-MX"/>
        </w:rPr>
        <w:t xml:space="preserve"> el Acuerdo de Clasificación que emita el Comité de Transparencia, con motivo de la versión pública.</w:t>
      </w:r>
    </w:p>
    <w:p w:rsidR="00EE00C3" w:rsidRPr="0016529C" w:rsidRDefault="00EE00C3" w:rsidP="00EE00C3">
      <w:pPr>
        <w:spacing w:line="360" w:lineRule="auto"/>
        <w:ind w:left="851" w:right="616"/>
        <w:jc w:val="both"/>
        <w:rPr>
          <w:rFonts w:ascii="Palatino Linotype" w:hAnsi="Palatino Linotype"/>
          <w:i/>
          <w:iCs/>
          <w:color w:val="222222"/>
          <w:lang w:eastAsia="es-MX"/>
        </w:rPr>
      </w:pPr>
      <w:r w:rsidRPr="0016529C">
        <w:rPr>
          <w:rFonts w:ascii="Palatino Linotype" w:hAnsi="Palatino Linotype"/>
          <w:i/>
          <w:iCs/>
          <w:color w:val="222222"/>
          <w:lang w:eastAsia="es-MX"/>
        </w:rPr>
        <w:t xml:space="preserve">A efecto de que </w:t>
      </w:r>
      <w:r w:rsidRPr="0016529C">
        <w:rPr>
          <w:rFonts w:ascii="Palatino Linotype" w:hAnsi="Palatino Linotype"/>
          <w:b/>
          <w:i/>
          <w:iCs/>
          <w:color w:val="222222"/>
          <w:lang w:eastAsia="es-MX"/>
        </w:rPr>
        <w:t>EL SUJETO OBLIGADO</w:t>
      </w:r>
      <w:r w:rsidRPr="0016529C">
        <w:rPr>
          <w:rFonts w:ascii="Palatino Linotype" w:hAnsi="Palatino Linotype"/>
          <w:i/>
          <w:iCs/>
          <w:color w:val="222222"/>
          <w:lang w:eastAsia="es-MX"/>
        </w:rPr>
        <w:t xml:space="preserve"> dé pleno cumplimiento respecto de la entrega de la información en copias certificadas, es necesario que informe a </w:t>
      </w:r>
      <w:r w:rsidRPr="0016529C">
        <w:rPr>
          <w:rFonts w:ascii="Palatino Linotype" w:hAnsi="Palatino Linotype"/>
          <w:b/>
          <w:i/>
          <w:iCs/>
          <w:color w:val="222222"/>
          <w:lang w:eastAsia="es-MX"/>
        </w:rPr>
        <w:t>LA</w:t>
      </w:r>
      <w:r w:rsidRPr="0016529C">
        <w:rPr>
          <w:rFonts w:ascii="Palatino Linotype" w:hAnsi="Palatino Linotype"/>
          <w:i/>
          <w:iCs/>
          <w:color w:val="222222"/>
          <w:lang w:eastAsia="es-MX"/>
        </w:rPr>
        <w:t xml:space="preserve"> </w:t>
      </w:r>
      <w:r w:rsidRPr="0016529C">
        <w:rPr>
          <w:rFonts w:ascii="Palatino Linotype" w:hAnsi="Palatino Linotype"/>
          <w:b/>
          <w:i/>
          <w:iCs/>
          <w:color w:val="222222"/>
          <w:lang w:eastAsia="es-MX"/>
        </w:rPr>
        <w:t>RECURRENTE</w:t>
      </w:r>
      <w:r w:rsidRPr="0016529C">
        <w:rPr>
          <w:rFonts w:ascii="Palatino Linotype" w:hAnsi="Palatino Linotype"/>
          <w:i/>
          <w:iCs/>
          <w:color w:val="222222"/>
          <w:lang w:eastAsia="es-MX"/>
        </w:rPr>
        <w:t xml:space="preserve"> el procedimiento para efectuar el pago de los derechos correspondientes, el costo, el o lugares, días y horario en que tiene la posibilidad de efectuar el pago, así como el nombre del servidor público que la atenderá, para que una vez realizado el pago se proceda a la certificación de los documentos, para finalmente elaborar las versiones públicas que correspondan.”</w:t>
      </w:r>
    </w:p>
    <w:p w:rsidR="00A143D1" w:rsidRDefault="00703F02" w:rsidP="008A64A2">
      <w:pPr>
        <w:pStyle w:val="Prrafodelista"/>
        <w:numPr>
          <w:ilvl w:val="0"/>
          <w:numId w:val="11"/>
        </w:numPr>
        <w:spacing w:before="240" w:after="240" w:line="360" w:lineRule="auto"/>
        <w:ind w:left="0"/>
        <w:jc w:val="both"/>
        <w:rPr>
          <w:rFonts w:ascii="Palatino Linotype" w:hAnsi="Palatino Linotype" w:cs="Arial"/>
          <w:sz w:val="24"/>
          <w:szCs w:val="24"/>
        </w:rPr>
      </w:pPr>
      <w:r w:rsidRPr="0036287F">
        <w:rPr>
          <w:rFonts w:ascii="Palatino Linotype" w:hAnsi="Palatino Linotype" w:cs="Arial"/>
          <w:sz w:val="24"/>
          <w:szCs w:val="24"/>
        </w:rPr>
        <w:t xml:space="preserve">Mi </w:t>
      </w:r>
      <w:r w:rsidR="00C02AF0">
        <w:rPr>
          <w:rFonts w:ascii="Palatino Linotype" w:hAnsi="Palatino Linotype" w:cs="Arial"/>
          <w:sz w:val="24"/>
          <w:szCs w:val="24"/>
        </w:rPr>
        <w:t>voto</w:t>
      </w:r>
      <w:r w:rsidR="00625340" w:rsidRPr="0036287F">
        <w:rPr>
          <w:rFonts w:ascii="Palatino Linotype" w:hAnsi="Palatino Linotype" w:cs="Arial"/>
          <w:sz w:val="24"/>
          <w:szCs w:val="24"/>
        </w:rPr>
        <w:t xml:space="preserve"> particular se deriva de</w:t>
      </w:r>
      <w:r w:rsidR="00A143D1" w:rsidRPr="0036287F">
        <w:rPr>
          <w:rFonts w:ascii="Palatino Linotype" w:hAnsi="Palatino Linotype" w:cs="Arial"/>
          <w:sz w:val="24"/>
          <w:szCs w:val="24"/>
        </w:rPr>
        <w:t xml:space="preserve"> la inobservancia </w:t>
      </w:r>
      <w:r w:rsidR="00113A96">
        <w:rPr>
          <w:rFonts w:ascii="Palatino Linotype" w:hAnsi="Palatino Linotype" w:cs="Arial"/>
          <w:sz w:val="24"/>
          <w:szCs w:val="24"/>
        </w:rPr>
        <w:t>a los principios de gratuidad y máxima publicidad establecidos en la Ley de Transparencia y Acceso a la Información Pública del Estado de México</w:t>
      </w:r>
      <w:r w:rsidR="0036287F">
        <w:rPr>
          <w:rFonts w:ascii="Palatino Linotype" w:hAnsi="Palatino Linotype" w:cs="Arial"/>
          <w:sz w:val="24"/>
          <w:szCs w:val="24"/>
        </w:rPr>
        <w:t xml:space="preserve">, </w:t>
      </w:r>
      <w:r w:rsidR="00113A96">
        <w:rPr>
          <w:rFonts w:ascii="Palatino Linotype" w:hAnsi="Palatino Linotype" w:cs="Arial"/>
          <w:sz w:val="24"/>
          <w:szCs w:val="24"/>
        </w:rPr>
        <w:t xml:space="preserve">al ordenarse al </w:t>
      </w:r>
      <w:r w:rsidR="00113A96">
        <w:rPr>
          <w:rFonts w:ascii="Palatino Linotype" w:hAnsi="Palatino Linotype" w:cs="Arial"/>
          <w:b/>
          <w:sz w:val="24"/>
          <w:szCs w:val="24"/>
        </w:rPr>
        <w:t xml:space="preserve">SUJETO OBLIGADO </w:t>
      </w:r>
      <w:r w:rsidR="00113A96">
        <w:rPr>
          <w:rFonts w:ascii="Palatino Linotype" w:hAnsi="Palatino Linotype" w:cs="Arial"/>
          <w:sz w:val="24"/>
          <w:szCs w:val="24"/>
        </w:rPr>
        <w:t xml:space="preserve">informe a la </w:t>
      </w:r>
      <w:r w:rsidR="00113A96">
        <w:rPr>
          <w:rFonts w:ascii="Palatino Linotype" w:hAnsi="Palatino Linotype" w:cs="Arial"/>
          <w:b/>
          <w:sz w:val="24"/>
          <w:szCs w:val="24"/>
        </w:rPr>
        <w:t xml:space="preserve">RECURRENTE </w:t>
      </w:r>
      <w:r w:rsidR="00113A96">
        <w:rPr>
          <w:rFonts w:ascii="Palatino Linotype" w:hAnsi="Palatino Linotype" w:cs="Arial"/>
          <w:sz w:val="24"/>
          <w:szCs w:val="24"/>
        </w:rPr>
        <w:t xml:space="preserve">el procedimiento para efectuar el pago </w:t>
      </w:r>
      <w:r w:rsidR="00EE00C3">
        <w:rPr>
          <w:rFonts w:ascii="Palatino Linotype" w:hAnsi="Palatino Linotype" w:cs="Arial"/>
          <w:sz w:val="24"/>
          <w:szCs w:val="24"/>
        </w:rPr>
        <w:t>de las copias certificadas</w:t>
      </w:r>
      <w:r w:rsidR="00113A96">
        <w:rPr>
          <w:rFonts w:ascii="Palatino Linotype" w:hAnsi="Palatino Linotype" w:cs="Arial"/>
          <w:sz w:val="24"/>
          <w:szCs w:val="24"/>
        </w:rPr>
        <w:t xml:space="preserve">. </w:t>
      </w:r>
    </w:p>
    <w:p w:rsidR="00A143D1" w:rsidRPr="0036287F" w:rsidRDefault="00A143D1" w:rsidP="0036287F">
      <w:pPr>
        <w:pStyle w:val="Prrafodelista"/>
        <w:spacing w:before="240" w:after="240" w:line="360" w:lineRule="auto"/>
        <w:ind w:left="0"/>
        <w:jc w:val="both"/>
        <w:rPr>
          <w:rFonts w:ascii="Palatino Linotype" w:hAnsi="Palatino Linotype" w:cs="Arial"/>
          <w:sz w:val="24"/>
          <w:szCs w:val="24"/>
        </w:rPr>
      </w:pPr>
    </w:p>
    <w:p w:rsidR="00625340" w:rsidRDefault="00625340" w:rsidP="00625340">
      <w:pPr>
        <w:pStyle w:val="Prrafodelista"/>
        <w:numPr>
          <w:ilvl w:val="0"/>
          <w:numId w:val="11"/>
        </w:numPr>
        <w:spacing w:before="240" w:after="240" w:line="360" w:lineRule="auto"/>
        <w:ind w:left="0"/>
        <w:jc w:val="both"/>
        <w:rPr>
          <w:rFonts w:ascii="Palatino Linotype" w:hAnsi="Palatino Linotype" w:cs="Arial"/>
          <w:sz w:val="24"/>
          <w:szCs w:val="24"/>
        </w:rPr>
      </w:pPr>
      <w:r w:rsidRPr="001C3008">
        <w:rPr>
          <w:rFonts w:ascii="Palatino Linotype" w:hAnsi="Palatino Linotype" w:cs="Arial"/>
          <w:sz w:val="24"/>
          <w:szCs w:val="24"/>
        </w:rPr>
        <w:t>Por tal motivo y e</w:t>
      </w:r>
      <w:r w:rsidR="006F18A4">
        <w:rPr>
          <w:rFonts w:ascii="Palatino Linotype" w:hAnsi="Palatino Linotype" w:cs="Arial"/>
          <w:sz w:val="24"/>
          <w:szCs w:val="24"/>
        </w:rPr>
        <w:t>n términos de lo señalado por el</w:t>
      </w:r>
      <w:r>
        <w:rPr>
          <w:rFonts w:ascii="Palatino Linotype" w:hAnsi="Palatino Linotype" w:cs="Arial"/>
          <w:sz w:val="24"/>
          <w:szCs w:val="24"/>
        </w:rPr>
        <w:t xml:space="preserve"> artículo </w:t>
      </w:r>
      <w:r w:rsidR="006F18A4">
        <w:rPr>
          <w:rFonts w:ascii="Palatino Linotype" w:hAnsi="Palatino Linotype" w:cs="Arial"/>
          <w:sz w:val="24"/>
          <w:szCs w:val="24"/>
        </w:rPr>
        <w:t>14</w:t>
      </w:r>
      <w:r>
        <w:rPr>
          <w:rFonts w:ascii="Palatino Linotype" w:hAnsi="Palatino Linotype" w:cs="Arial"/>
          <w:sz w:val="24"/>
          <w:szCs w:val="24"/>
        </w:rPr>
        <w:t xml:space="preserve"> </w:t>
      </w:r>
      <w:r w:rsidRPr="001C3008">
        <w:rPr>
          <w:rFonts w:ascii="Palatino Linotype" w:hAnsi="Palatino Linotype" w:cs="Arial"/>
          <w:sz w:val="24"/>
          <w:szCs w:val="24"/>
        </w:rPr>
        <w:t>fracción X</w:t>
      </w:r>
      <w:r w:rsidR="00F313D4">
        <w:rPr>
          <w:rFonts w:ascii="Palatino Linotype" w:hAnsi="Palatino Linotype" w:cs="Arial"/>
          <w:sz w:val="24"/>
          <w:szCs w:val="24"/>
        </w:rPr>
        <w:t>I</w:t>
      </w:r>
      <w:r w:rsidRPr="001C3008">
        <w:rPr>
          <w:rFonts w:ascii="Palatino Linotype" w:hAnsi="Palatino Linotype" w:cs="Arial"/>
          <w:sz w:val="24"/>
          <w:szCs w:val="24"/>
        </w:rPr>
        <w:t xml:space="preserve"> del Reglamento Interior del Instituto de Transparencia y Acceso a la Información Pública del Estado de México y Municipios formulo la presente</w:t>
      </w:r>
      <w:r w:rsidR="00703F02">
        <w:rPr>
          <w:rFonts w:ascii="Palatino Linotype" w:hAnsi="Palatino Linotype" w:cs="Arial"/>
          <w:sz w:val="24"/>
          <w:szCs w:val="24"/>
        </w:rPr>
        <w:t xml:space="preserve"> </w:t>
      </w:r>
      <w:r w:rsidR="00C02AF0">
        <w:rPr>
          <w:rFonts w:ascii="Palatino Linotype" w:hAnsi="Palatino Linotype" w:cs="Arial"/>
          <w:sz w:val="24"/>
          <w:szCs w:val="24"/>
        </w:rPr>
        <w:t>voto</w:t>
      </w:r>
      <w:r>
        <w:rPr>
          <w:rFonts w:ascii="Palatino Linotype" w:hAnsi="Palatino Linotype" w:cs="Arial"/>
          <w:sz w:val="24"/>
          <w:szCs w:val="24"/>
        </w:rPr>
        <w:t xml:space="preserve"> </w:t>
      </w:r>
      <w:r w:rsidRPr="001C3008">
        <w:rPr>
          <w:rFonts w:ascii="Palatino Linotype" w:hAnsi="Palatino Linotype" w:cs="Arial"/>
          <w:sz w:val="24"/>
          <w:szCs w:val="24"/>
        </w:rPr>
        <w:t xml:space="preserve">particular. </w:t>
      </w:r>
    </w:p>
    <w:p w:rsidR="0071438F" w:rsidRPr="0071438F" w:rsidRDefault="0071438F" w:rsidP="0071438F">
      <w:pPr>
        <w:pStyle w:val="Prrafodelista"/>
        <w:rPr>
          <w:rFonts w:ascii="Palatino Linotype" w:hAnsi="Palatino Linotype" w:cs="Arial"/>
          <w:sz w:val="24"/>
          <w:szCs w:val="24"/>
        </w:rPr>
      </w:pPr>
    </w:p>
    <w:p w:rsidR="00EE00C3" w:rsidRDefault="00EE00C3" w:rsidP="00E919D3">
      <w:pPr>
        <w:pStyle w:val="Prrafodelista"/>
        <w:keepNext/>
        <w:keepLines/>
        <w:numPr>
          <w:ilvl w:val="0"/>
          <w:numId w:val="15"/>
        </w:numPr>
        <w:spacing w:before="40" w:after="0" w:line="360" w:lineRule="auto"/>
        <w:outlineLvl w:val="1"/>
        <w:rPr>
          <w:rFonts w:ascii="Palatino Linotype" w:eastAsiaTheme="majorEastAsia" w:hAnsi="Palatino Linotype" w:cs="Arial"/>
          <w:b/>
          <w:iCs/>
          <w:color w:val="000000" w:themeColor="text1"/>
          <w:sz w:val="24"/>
          <w:szCs w:val="24"/>
        </w:rPr>
      </w:pPr>
      <w:bookmarkStart w:id="2" w:name="_Toc508378627"/>
      <w:bookmarkStart w:id="3" w:name="_Toc15298362"/>
      <w:r w:rsidRPr="00E919D3">
        <w:rPr>
          <w:rFonts w:ascii="Palatino Linotype" w:eastAsiaTheme="majorEastAsia" w:hAnsi="Palatino Linotype" w:cs="Arial"/>
          <w:b/>
          <w:iCs/>
          <w:color w:val="000000" w:themeColor="text1"/>
          <w:sz w:val="24"/>
          <w:szCs w:val="24"/>
        </w:rPr>
        <w:lastRenderedPageBreak/>
        <w:t>De los Requerimientos planteados en el recurso de revisión</w:t>
      </w:r>
      <w:bookmarkEnd w:id="2"/>
      <w:bookmarkEnd w:id="3"/>
    </w:p>
    <w:p w:rsidR="00E919D3" w:rsidRPr="00E919D3" w:rsidRDefault="00E919D3" w:rsidP="00E919D3">
      <w:pPr>
        <w:pStyle w:val="Prrafodelista"/>
        <w:keepNext/>
        <w:keepLines/>
        <w:spacing w:before="40" w:after="0" w:line="360" w:lineRule="auto"/>
        <w:ind w:left="1080"/>
        <w:outlineLvl w:val="1"/>
        <w:rPr>
          <w:rFonts w:ascii="Palatino Linotype" w:eastAsiaTheme="majorEastAsia" w:hAnsi="Palatino Linotype" w:cs="Arial"/>
          <w:b/>
          <w:iCs/>
          <w:color w:val="000000" w:themeColor="text1"/>
          <w:sz w:val="24"/>
          <w:szCs w:val="24"/>
        </w:rPr>
      </w:pPr>
    </w:p>
    <w:p w:rsidR="009F7309" w:rsidRDefault="009F7309" w:rsidP="009F7309">
      <w:pPr>
        <w:pStyle w:val="Prrafodelista"/>
        <w:numPr>
          <w:ilvl w:val="0"/>
          <w:numId w:val="11"/>
        </w:numPr>
        <w:spacing w:before="240" w:after="240" w:line="360" w:lineRule="auto"/>
        <w:ind w:left="0"/>
        <w:jc w:val="both"/>
        <w:rPr>
          <w:rFonts w:ascii="Palatino Linotype" w:hAnsi="Palatino Linotype" w:cs="Arial"/>
          <w:sz w:val="24"/>
          <w:szCs w:val="24"/>
        </w:rPr>
      </w:pPr>
      <w:r>
        <w:rPr>
          <w:rFonts w:ascii="Palatino Linotype" w:hAnsi="Palatino Linotype" w:cs="Arial"/>
          <w:sz w:val="24"/>
          <w:szCs w:val="24"/>
        </w:rPr>
        <w:t xml:space="preserve">En primer lugar, todo </w:t>
      </w:r>
      <w:r>
        <w:rPr>
          <w:rFonts w:ascii="Palatino Linotype" w:hAnsi="Palatino Linotype" w:cs="Arial"/>
          <w:b/>
          <w:sz w:val="24"/>
          <w:szCs w:val="24"/>
        </w:rPr>
        <w:t xml:space="preserve">SUJETO OBLIGADO, </w:t>
      </w:r>
      <w:r>
        <w:rPr>
          <w:rFonts w:ascii="Palatino Linotype" w:hAnsi="Palatino Linotype" w:cs="Arial"/>
          <w:sz w:val="24"/>
          <w:szCs w:val="24"/>
        </w:rPr>
        <w:t xml:space="preserve">debe tener presente que la </w:t>
      </w:r>
      <w:r>
        <w:rPr>
          <w:rFonts w:ascii="Palatino Linotype" w:hAnsi="Palatino Linotype" w:cs="Arial"/>
          <w:b/>
          <w:sz w:val="24"/>
          <w:szCs w:val="24"/>
        </w:rPr>
        <w:t xml:space="preserve">Ley de Transparencia </w:t>
      </w:r>
      <w:r w:rsidRPr="009F7309">
        <w:rPr>
          <w:rFonts w:ascii="Palatino Linotype" w:hAnsi="Palatino Linotype" w:cs="Arial"/>
          <w:b/>
          <w:sz w:val="24"/>
          <w:szCs w:val="24"/>
        </w:rPr>
        <w:t>y Acceso a la Información Pública del Estado de México y Municipios</w:t>
      </w:r>
      <w:r>
        <w:rPr>
          <w:rFonts w:ascii="Palatino Linotype" w:hAnsi="Palatino Linotype" w:cs="Arial"/>
          <w:b/>
          <w:sz w:val="24"/>
          <w:szCs w:val="24"/>
        </w:rPr>
        <w:t xml:space="preserve">, </w:t>
      </w:r>
      <w:r>
        <w:rPr>
          <w:rFonts w:ascii="Palatino Linotype" w:hAnsi="Palatino Linotype" w:cs="Arial"/>
          <w:sz w:val="24"/>
          <w:szCs w:val="24"/>
        </w:rPr>
        <w:t xml:space="preserve">establece principios, bases generales y procedimientos para tutelar y garantizar la transparencia y el derecho humano de acceso a la información pública que generan, administran o poseen, y asimismo establece que todo procedimiento en materia de acceso a la información deberá sustanciares de manera sencilla </w:t>
      </w:r>
      <w:r w:rsidR="00E661C7">
        <w:rPr>
          <w:rFonts w:ascii="Palatino Linotype" w:hAnsi="Palatino Linotype" w:cs="Arial"/>
          <w:sz w:val="24"/>
          <w:szCs w:val="24"/>
        </w:rPr>
        <w:t xml:space="preserve">y expedita propiciando las condiciones para el acceso, entrega y publicación de información. </w:t>
      </w:r>
    </w:p>
    <w:p w:rsidR="00EE00C3" w:rsidRDefault="00EE00C3" w:rsidP="00EE00C3">
      <w:pPr>
        <w:pStyle w:val="Prrafodelista"/>
        <w:spacing w:before="240" w:after="240" w:line="360" w:lineRule="auto"/>
        <w:ind w:left="0"/>
        <w:jc w:val="both"/>
        <w:rPr>
          <w:rFonts w:ascii="Palatino Linotype" w:hAnsi="Palatino Linotype" w:cs="Arial"/>
          <w:sz w:val="24"/>
          <w:szCs w:val="24"/>
        </w:rPr>
      </w:pPr>
    </w:p>
    <w:p w:rsidR="00000EE3" w:rsidRPr="00000EE3" w:rsidRDefault="00113A96" w:rsidP="00113A96">
      <w:pPr>
        <w:pStyle w:val="Prrafodelista"/>
        <w:numPr>
          <w:ilvl w:val="0"/>
          <w:numId w:val="11"/>
        </w:numPr>
        <w:spacing w:before="240" w:after="240" w:line="360" w:lineRule="auto"/>
        <w:ind w:left="0"/>
        <w:jc w:val="both"/>
        <w:rPr>
          <w:rFonts w:ascii="Palatino Linotype" w:hAnsi="Palatino Linotype"/>
          <w:i/>
        </w:rPr>
      </w:pPr>
      <w:r>
        <w:rPr>
          <w:rFonts w:ascii="Palatino Linotype" w:hAnsi="Palatino Linotype" w:cs="Arial"/>
          <w:sz w:val="24"/>
          <w:szCs w:val="24"/>
        </w:rPr>
        <w:t xml:space="preserve">Bajo este tenor, </w:t>
      </w:r>
      <w:r w:rsidR="00325547">
        <w:rPr>
          <w:rFonts w:ascii="Palatino Linotype" w:hAnsi="Palatino Linotype" w:cs="Arial"/>
          <w:sz w:val="24"/>
          <w:szCs w:val="24"/>
        </w:rPr>
        <w:t xml:space="preserve">la </w:t>
      </w:r>
      <w:r w:rsidR="00EE00C3">
        <w:rPr>
          <w:rFonts w:ascii="Palatino Linotype" w:hAnsi="Palatino Linotype" w:cs="Arial"/>
          <w:sz w:val="24"/>
          <w:szCs w:val="24"/>
        </w:rPr>
        <w:t>particular</w:t>
      </w:r>
      <w:r w:rsidR="002376B4" w:rsidRPr="00815B5D">
        <w:rPr>
          <w:rFonts w:ascii="Palatino Linotype" w:hAnsi="Palatino Linotype" w:cs="Arial"/>
          <w:sz w:val="24"/>
          <w:szCs w:val="24"/>
        </w:rPr>
        <w:t xml:space="preserve"> requirió </w:t>
      </w:r>
      <w:r w:rsidR="00000EE3" w:rsidRPr="00815B5D">
        <w:rPr>
          <w:rFonts w:ascii="Palatino Linotype" w:hAnsi="Palatino Linotype" w:cs="Arial"/>
          <w:sz w:val="24"/>
          <w:szCs w:val="24"/>
        </w:rPr>
        <w:t xml:space="preserve">del </w:t>
      </w:r>
      <w:r w:rsidR="00EE00C3">
        <w:rPr>
          <w:rFonts w:ascii="Palatino Linotype" w:hAnsi="Palatino Linotype" w:cs="Arial"/>
          <w:b/>
          <w:sz w:val="24"/>
          <w:szCs w:val="24"/>
        </w:rPr>
        <w:t>Ayuntamiento de Ecatepec de Morelos</w:t>
      </w:r>
      <w:r w:rsidR="00000EE3">
        <w:rPr>
          <w:rFonts w:ascii="Palatino Linotype" w:hAnsi="Palatino Linotype" w:cs="Arial"/>
          <w:sz w:val="24"/>
          <w:szCs w:val="24"/>
        </w:rPr>
        <w:t xml:space="preserve"> </w:t>
      </w:r>
      <w:r w:rsidR="00EE00C3">
        <w:rPr>
          <w:rFonts w:ascii="Palatino Linotype" w:hAnsi="Palatino Linotype" w:cs="Arial"/>
          <w:sz w:val="24"/>
          <w:szCs w:val="24"/>
        </w:rPr>
        <w:t>en Copias Certificadas (Con costo)</w:t>
      </w:r>
      <w:r w:rsidR="00000EE3">
        <w:rPr>
          <w:rFonts w:ascii="Palatino Linotype" w:hAnsi="Palatino Linotype" w:cs="Arial"/>
          <w:sz w:val="24"/>
          <w:szCs w:val="24"/>
        </w:rPr>
        <w:t xml:space="preserve">, </w:t>
      </w:r>
      <w:r w:rsidR="00EE00C3">
        <w:rPr>
          <w:rFonts w:ascii="Palatino Linotype" w:hAnsi="Palatino Linotype" w:cs="Arial"/>
          <w:sz w:val="24"/>
          <w:szCs w:val="24"/>
        </w:rPr>
        <w:t xml:space="preserve">la información de grados académicos, títulos y cédula profesional de cada uno de los Directores del H. Ayuntamiento de Ecatepec de Morelos, para el periodo 2019-2021, </w:t>
      </w:r>
      <w:r w:rsidR="001A4E79">
        <w:rPr>
          <w:rFonts w:ascii="Palatino Linotype" w:hAnsi="Palatino Linotype" w:cs="Arial"/>
          <w:sz w:val="24"/>
          <w:szCs w:val="24"/>
        </w:rPr>
        <w:t xml:space="preserve">así como del Presidente Municipal. </w:t>
      </w:r>
    </w:p>
    <w:p w:rsidR="00000EE3" w:rsidRPr="00000EE3" w:rsidRDefault="00000EE3" w:rsidP="00000EE3">
      <w:pPr>
        <w:pStyle w:val="Prrafodelista"/>
        <w:rPr>
          <w:rFonts w:ascii="Palatino Linotype" w:hAnsi="Palatino Linotype" w:cs="Arial"/>
          <w:sz w:val="24"/>
          <w:szCs w:val="24"/>
        </w:rPr>
      </w:pPr>
    </w:p>
    <w:p w:rsidR="00000EE3" w:rsidRPr="001A4E79" w:rsidRDefault="00000EE3" w:rsidP="001A4E79">
      <w:pPr>
        <w:pStyle w:val="Prrafodelista"/>
        <w:numPr>
          <w:ilvl w:val="0"/>
          <w:numId w:val="11"/>
        </w:numPr>
        <w:spacing w:before="240" w:after="240" w:line="360" w:lineRule="auto"/>
        <w:ind w:left="0"/>
        <w:jc w:val="both"/>
        <w:rPr>
          <w:rFonts w:ascii="Palatino Linotype" w:hAnsi="Palatino Linotype"/>
          <w:i/>
        </w:rPr>
      </w:pPr>
      <w:r w:rsidRPr="0018271F">
        <w:rPr>
          <w:rFonts w:ascii="Palatino Linotype" w:hAnsi="Palatino Linotype"/>
          <w:sz w:val="24"/>
          <w:szCs w:val="24"/>
        </w:rPr>
        <w:t xml:space="preserve">En respuesta a la solicitud de información el </w:t>
      </w:r>
      <w:r w:rsidRPr="0018271F">
        <w:rPr>
          <w:rFonts w:ascii="Palatino Linotype" w:hAnsi="Palatino Linotype"/>
          <w:b/>
          <w:sz w:val="24"/>
          <w:szCs w:val="24"/>
        </w:rPr>
        <w:t xml:space="preserve">SUJETO OBLIGADO </w:t>
      </w:r>
      <w:r w:rsidR="001A4E79">
        <w:rPr>
          <w:rFonts w:ascii="Palatino Linotype" w:hAnsi="Palatino Linotype"/>
          <w:sz w:val="24"/>
          <w:szCs w:val="24"/>
        </w:rPr>
        <w:t xml:space="preserve">manifestó que la información solicitada se encuentra publicada en la página oficial del Ayuntamiento, la cual puede ser consultada a través de la Plataforma del IPOMEX. </w:t>
      </w:r>
    </w:p>
    <w:p w:rsidR="001A4E79" w:rsidRPr="001A4E79" w:rsidRDefault="001A4E79" w:rsidP="001A4E79">
      <w:pPr>
        <w:pStyle w:val="Prrafodelista"/>
        <w:rPr>
          <w:rFonts w:ascii="Palatino Linotype" w:hAnsi="Palatino Linotype"/>
          <w:i/>
        </w:rPr>
      </w:pPr>
    </w:p>
    <w:p w:rsidR="008A491D" w:rsidRPr="00F51F8F" w:rsidRDefault="0018271F" w:rsidP="000C289F">
      <w:pPr>
        <w:pStyle w:val="Prrafodelista"/>
        <w:numPr>
          <w:ilvl w:val="0"/>
          <w:numId w:val="11"/>
        </w:numPr>
        <w:spacing w:before="240" w:after="240" w:line="360" w:lineRule="auto"/>
        <w:ind w:left="0"/>
        <w:jc w:val="both"/>
        <w:rPr>
          <w:rFonts w:ascii="Palatino Linotype" w:hAnsi="Palatino Linotype" w:cs="Arial"/>
          <w:i/>
          <w:color w:val="000000" w:themeColor="text1"/>
          <w:sz w:val="24"/>
          <w:szCs w:val="24"/>
        </w:rPr>
      </w:pPr>
      <w:r>
        <w:rPr>
          <w:rFonts w:ascii="Palatino Linotype" w:hAnsi="Palatino Linotype"/>
          <w:sz w:val="24"/>
          <w:szCs w:val="24"/>
        </w:rPr>
        <w:t xml:space="preserve">Es así que la </w:t>
      </w:r>
      <w:r>
        <w:rPr>
          <w:rFonts w:ascii="Palatino Linotype" w:hAnsi="Palatino Linotype"/>
          <w:b/>
          <w:sz w:val="24"/>
          <w:szCs w:val="24"/>
        </w:rPr>
        <w:t xml:space="preserve">RECURRENTE </w:t>
      </w:r>
      <w:r>
        <w:rPr>
          <w:rFonts w:ascii="Palatino Linotype" w:hAnsi="Palatino Linotype"/>
          <w:sz w:val="24"/>
          <w:szCs w:val="24"/>
        </w:rPr>
        <w:t>inconforme con la respuesta y haciendo uso de su derecho interpuso el recurso de revisión señalando</w:t>
      </w:r>
      <w:r w:rsidR="001273B6">
        <w:rPr>
          <w:rFonts w:ascii="Palatino Linotype" w:hAnsi="Palatino Linotype"/>
          <w:sz w:val="24"/>
          <w:szCs w:val="24"/>
        </w:rPr>
        <w:t xml:space="preserve"> en términos generales</w:t>
      </w:r>
      <w:r>
        <w:rPr>
          <w:rFonts w:ascii="Palatino Linotype" w:hAnsi="Palatino Linotype"/>
          <w:sz w:val="24"/>
          <w:szCs w:val="24"/>
        </w:rPr>
        <w:t xml:space="preserve"> en las razones o motivos de inconformidad </w:t>
      </w:r>
      <w:r w:rsidR="001A4E79">
        <w:rPr>
          <w:rFonts w:ascii="Palatino Linotype" w:hAnsi="Palatino Linotype"/>
          <w:sz w:val="24"/>
          <w:szCs w:val="24"/>
        </w:rPr>
        <w:t xml:space="preserve">que el sitio electrónico no existe y por lo tanto </w:t>
      </w:r>
      <w:r w:rsidR="001A4E79">
        <w:rPr>
          <w:rFonts w:ascii="Palatino Linotype" w:hAnsi="Palatino Linotype"/>
          <w:sz w:val="24"/>
          <w:szCs w:val="24"/>
        </w:rPr>
        <w:lastRenderedPageBreak/>
        <w:t xml:space="preserve">no puede consultarse la información, razón por la que </w:t>
      </w:r>
      <w:r w:rsidR="000C289F" w:rsidRPr="000834DF">
        <w:rPr>
          <w:rFonts w:ascii="Palatino Linotype" w:hAnsi="Palatino Linotype" w:cs="Arial"/>
          <w:color w:val="000000" w:themeColor="text1"/>
          <w:sz w:val="24"/>
          <w:szCs w:val="24"/>
        </w:rPr>
        <w:t xml:space="preserve">considero que, en este caso, dada la condición de la autoridad, es que debió de eximirse a </w:t>
      </w:r>
      <w:r w:rsidR="000C289F">
        <w:rPr>
          <w:rFonts w:ascii="Palatino Linotype" w:hAnsi="Palatino Linotype"/>
          <w:sz w:val="24"/>
          <w:szCs w:val="24"/>
        </w:rPr>
        <w:t xml:space="preserve">la </w:t>
      </w:r>
      <w:r w:rsidR="000C289F">
        <w:rPr>
          <w:rFonts w:ascii="Palatino Linotype" w:hAnsi="Palatino Linotype"/>
          <w:b/>
          <w:sz w:val="24"/>
          <w:szCs w:val="24"/>
        </w:rPr>
        <w:t>RECURRENTE</w:t>
      </w:r>
      <w:r w:rsidR="001A4E79">
        <w:rPr>
          <w:rFonts w:ascii="Palatino Linotype" w:hAnsi="Palatino Linotype"/>
          <w:b/>
          <w:sz w:val="24"/>
          <w:szCs w:val="24"/>
        </w:rPr>
        <w:t xml:space="preserve"> </w:t>
      </w:r>
      <w:r w:rsidR="001A4E79">
        <w:rPr>
          <w:rFonts w:ascii="Palatino Linotype" w:hAnsi="Palatino Linotype"/>
          <w:sz w:val="24"/>
          <w:szCs w:val="24"/>
        </w:rPr>
        <w:t>del pago correspondiente</w:t>
      </w:r>
      <w:r w:rsidR="000C289F" w:rsidRPr="000834DF">
        <w:rPr>
          <w:rFonts w:ascii="Palatino Linotype" w:hAnsi="Palatino Linotype" w:cs="Arial"/>
          <w:b/>
          <w:color w:val="000000" w:themeColor="text1"/>
          <w:sz w:val="24"/>
          <w:szCs w:val="24"/>
          <w:lang w:val="es-ES"/>
        </w:rPr>
        <w:t xml:space="preserve">, </w:t>
      </w:r>
      <w:r w:rsidR="001A4E79">
        <w:rPr>
          <w:rFonts w:ascii="Palatino Linotype" w:hAnsi="Palatino Linotype" w:cs="Arial"/>
          <w:color w:val="000000" w:themeColor="text1"/>
          <w:sz w:val="24"/>
          <w:szCs w:val="24"/>
        </w:rPr>
        <w:t xml:space="preserve">partiendo de que el </w:t>
      </w:r>
      <w:r w:rsidR="001A4E79">
        <w:rPr>
          <w:rFonts w:ascii="Palatino Linotype" w:hAnsi="Palatino Linotype" w:cs="Arial"/>
          <w:b/>
          <w:color w:val="000000" w:themeColor="text1"/>
          <w:sz w:val="24"/>
          <w:szCs w:val="24"/>
        </w:rPr>
        <w:t xml:space="preserve">Municipio de Ecatepec de Morelos </w:t>
      </w:r>
      <w:r w:rsidR="001A4E79">
        <w:rPr>
          <w:rFonts w:ascii="Palatino Linotype" w:hAnsi="Palatino Linotype" w:cs="Arial"/>
          <w:color w:val="000000" w:themeColor="text1"/>
          <w:sz w:val="24"/>
          <w:szCs w:val="24"/>
        </w:rPr>
        <w:t xml:space="preserve">actuó con negligencia al momento de responder a la solicitud de información, aunado a que </w:t>
      </w:r>
      <w:r w:rsidR="000C289F">
        <w:rPr>
          <w:rFonts w:ascii="Palatino Linotype" w:hAnsi="Palatino Linotype" w:cs="Arial"/>
          <w:color w:val="000000" w:themeColor="text1"/>
          <w:sz w:val="24"/>
          <w:szCs w:val="24"/>
        </w:rPr>
        <w:t>cuenta con las capacidades técnicas y presupuestales para hacer efec</w:t>
      </w:r>
      <w:r w:rsidR="001A4E79">
        <w:rPr>
          <w:rFonts w:ascii="Palatino Linotype" w:hAnsi="Palatino Linotype" w:cs="Arial"/>
          <w:color w:val="000000" w:themeColor="text1"/>
          <w:sz w:val="24"/>
          <w:szCs w:val="24"/>
        </w:rPr>
        <w:t xml:space="preserve">tivo el principio de gratuidad. </w:t>
      </w:r>
    </w:p>
    <w:p w:rsidR="00F51F8F" w:rsidRPr="000C289F" w:rsidRDefault="00F51F8F" w:rsidP="00F51F8F">
      <w:pPr>
        <w:pStyle w:val="Prrafodelista"/>
        <w:spacing w:before="240" w:after="240" w:line="360" w:lineRule="auto"/>
        <w:ind w:left="0"/>
        <w:jc w:val="both"/>
        <w:rPr>
          <w:rFonts w:ascii="Palatino Linotype" w:hAnsi="Palatino Linotype" w:cs="Arial"/>
          <w:i/>
          <w:color w:val="000000" w:themeColor="text1"/>
          <w:sz w:val="24"/>
          <w:szCs w:val="24"/>
        </w:rPr>
      </w:pPr>
    </w:p>
    <w:p w:rsidR="000C289F" w:rsidRPr="00F51F8F" w:rsidRDefault="000C289F" w:rsidP="00F51F8F">
      <w:pPr>
        <w:pStyle w:val="Prrafodelista"/>
        <w:keepNext/>
        <w:keepLines/>
        <w:numPr>
          <w:ilvl w:val="0"/>
          <w:numId w:val="24"/>
        </w:numPr>
        <w:spacing w:before="40" w:after="0"/>
        <w:outlineLvl w:val="1"/>
        <w:rPr>
          <w:rFonts w:ascii="Palatino Linotype" w:eastAsiaTheme="majorEastAsia" w:hAnsi="Palatino Linotype" w:cs="Arial"/>
          <w:b/>
          <w:iCs/>
          <w:color w:val="000000" w:themeColor="text1"/>
          <w:sz w:val="24"/>
          <w:szCs w:val="24"/>
        </w:rPr>
      </w:pPr>
      <w:bookmarkStart w:id="4" w:name="_Toc491086692"/>
      <w:bookmarkStart w:id="5" w:name="_Toc15298363"/>
      <w:r w:rsidRPr="00F51F8F">
        <w:rPr>
          <w:rFonts w:ascii="Palatino Linotype" w:eastAsiaTheme="majorEastAsia" w:hAnsi="Palatino Linotype" w:cs="Arial"/>
          <w:b/>
          <w:iCs/>
          <w:color w:val="000000" w:themeColor="text1"/>
          <w:sz w:val="24"/>
          <w:szCs w:val="24"/>
        </w:rPr>
        <w:t>Del Derecho de Acceso a la Información Pública.</w:t>
      </w:r>
      <w:bookmarkEnd w:id="4"/>
      <w:bookmarkEnd w:id="5"/>
    </w:p>
    <w:p w:rsidR="000C289F" w:rsidRPr="000834DF" w:rsidRDefault="000C289F" w:rsidP="000C289F">
      <w:pPr>
        <w:keepNext/>
        <w:keepLines/>
        <w:spacing w:before="40" w:after="0"/>
        <w:ind w:left="1080"/>
        <w:outlineLvl w:val="1"/>
        <w:rPr>
          <w:rFonts w:ascii="Palatino Linotype" w:eastAsiaTheme="majorEastAsia" w:hAnsi="Palatino Linotype" w:cs="Arial"/>
          <w:b/>
          <w:iCs/>
          <w:color w:val="000000" w:themeColor="text1"/>
          <w:sz w:val="24"/>
          <w:szCs w:val="24"/>
        </w:rPr>
      </w:pPr>
    </w:p>
    <w:p w:rsidR="005F7BB4" w:rsidRPr="00CF18AC" w:rsidRDefault="005F7BB4" w:rsidP="00E919D3">
      <w:pPr>
        <w:pStyle w:val="Prrafodelista"/>
        <w:numPr>
          <w:ilvl w:val="0"/>
          <w:numId w:val="11"/>
        </w:numPr>
        <w:spacing w:before="240" w:after="240" w:line="360" w:lineRule="auto"/>
        <w:ind w:left="0"/>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Como establece el primer párrafo del artículo primero de la Constitución Política de los Estados Unidos Mexicanos, en nuestro país las personas gozan de los derechos reconocidos en dicho instrumento fundamental y en los tratados internacionales así como de las garantías para su protección. Entre estos derechos se encuentra el derecho de acceso a la información pública reconocido </w:t>
      </w:r>
      <w:r w:rsidRPr="00CF18AC">
        <w:rPr>
          <w:rFonts w:ascii="Palatino Linotype" w:eastAsia="Calibri" w:hAnsi="Palatino Linotype" w:cs="Arial"/>
          <w:color w:val="000000" w:themeColor="text1"/>
          <w:sz w:val="24"/>
          <w:szCs w:val="24"/>
          <w:lang w:val="es-ES" w:eastAsia="es-ES"/>
        </w:rPr>
        <w:t xml:space="preserve">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Ya sea que entendamos a los derechos como realidades positivas que forman parte de </w:t>
      </w:r>
      <w:r w:rsidRPr="00CF18AC">
        <w:rPr>
          <w:rFonts w:ascii="Palatino Linotype" w:eastAsia="Calibri" w:hAnsi="Palatino Linotype" w:cs="Arial"/>
          <w:i/>
          <w:color w:val="000000" w:themeColor="text1"/>
          <w:sz w:val="24"/>
          <w:szCs w:val="24"/>
          <w:lang w:val="es-ES" w:eastAsia="es-ES"/>
        </w:rPr>
        <w:t>la esfera de lo indecidible que</w:t>
      </w:r>
      <w:r w:rsidRPr="00CF18AC">
        <w:rPr>
          <w:rFonts w:ascii="Palatino Linotype" w:eastAsia="Calibri" w:hAnsi="Palatino Linotype" w:cs="Arial"/>
          <w:color w:val="000000" w:themeColor="text1"/>
          <w:sz w:val="24"/>
          <w:szCs w:val="24"/>
          <w:lang w:val="es-ES" w:eastAsia="es-ES"/>
        </w:rPr>
        <w:t xml:space="preserve"> o de</w:t>
      </w:r>
      <w:r w:rsidRPr="00CF18AC">
        <w:rPr>
          <w:rFonts w:ascii="Palatino Linotype" w:eastAsia="Calibri" w:hAnsi="Palatino Linotype" w:cs="Arial"/>
          <w:i/>
          <w:color w:val="000000" w:themeColor="text1"/>
          <w:sz w:val="24"/>
          <w:szCs w:val="24"/>
          <w:lang w:val="es-ES" w:eastAsia="es-ES"/>
        </w:rPr>
        <w:t xml:space="preserve"> lo indecidible que no</w:t>
      </w:r>
      <w:r w:rsidRPr="00CF18AC">
        <w:rPr>
          <w:rFonts w:ascii="Palatino Linotype" w:eastAsia="Calibri" w:hAnsi="Palatino Linotype" w:cs="Arial"/>
          <w:i/>
          <w:color w:val="000000" w:themeColor="text1"/>
          <w:sz w:val="24"/>
          <w:szCs w:val="24"/>
          <w:vertAlign w:val="superscript"/>
          <w:lang w:val="es-ES" w:eastAsia="es-ES"/>
        </w:rPr>
        <w:footnoteReference w:id="1"/>
      </w:r>
      <w:r w:rsidRPr="00CF18AC">
        <w:rPr>
          <w:rFonts w:ascii="Palatino Linotype" w:eastAsia="Calibri" w:hAnsi="Palatino Linotype" w:cs="Arial"/>
          <w:color w:val="000000" w:themeColor="text1"/>
          <w:sz w:val="24"/>
          <w:szCs w:val="24"/>
          <w:lang w:val="es-ES" w:eastAsia="es-ES"/>
        </w:rPr>
        <w:t xml:space="preserve"> o bien como </w:t>
      </w:r>
      <w:r w:rsidRPr="00CF18AC">
        <w:rPr>
          <w:rFonts w:ascii="Palatino Linotype" w:eastAsia="Calibri" w:hAnsi="Palatino Linotype" w:cs="Arial"/>
          <w:color w:val="000000" w:themeColor="text1"/>
          <w:sz w:val="24"/>
          <w:szCs w:val="24"/>
          <w:lang w:val="es-ES" w:eastAsia="es-ES"/>
        </w:rPr>
        <w:lastRenderedPageBreak/>
        <w:t xml:space="preserve">principios que constituyen </w:t>
      </w:r>
      <w:r w:rsidRPr="00CF18AC">
        <w:rPr>
          <w:rFonts w:ascii="Palatino Linotype" w:eastAsia="Calibri" w:hAnsi="Palatino Linotype" w:cs="Arial"/>
          <w:i/>
          <w:color w:val="000000" w:themeColor="text1"/>
          <w:sz w:val="24"/>
          <w:szCs w:val="24"/>
          <w:lang w:val="es-ES" w:eastAsia="es-ES"/>
        </w:rPr>
        <w:t>mandatos de optimización</w:t>
      </w:r>
      <w:r w:rsidRPr="00CF18AC">
        <w:rPr>
          <w:rFonts w:ascii="Palatino Linotype" w:eastAsia="Calibri" w:hAnsi="Palatino Linotype" w:cs="Arial"/>
          <w:color w:val="000000" w:themeColor="text1"/>
          <w:sz w:val="24"/>
          <w:szCs w:val="24"/>
          <w:lang w:val="es-ES" w:eastAsia="es-ES"/>
        </w:rPr>
        <w:t>,</w:t>
      </w:r>
      <w:r w:rsidRPr="00CF18AC">
        <w:rPr>
          <w:rFonts w:ascii="Palatino Linotype" w:eastAsia="Calibri" w:hAnsi="Palatino Linotype" w:cs="Arial"/>
          <w:color w:val="000000" w:themeColor="text1"/>
          <w:sz w:val="24"/>
          <w:szCs w:val="24"/>
          <w:vertAlign w:val="superscript"/>
          <w:lang w:val="es-ES" w:eastAsia="es-ES"/>
        </w:rPr>
        <w:footnoteReference w:id="2"/>
      </w:r>
      <w:r w:rsidRPr="00CF18AC">
        <w:rPr>
          <w:rFonts w:ascii="Palatino Linotype" w:eastAsia="Calibri" w:hAnsi="Palatino Linotype" w:cs="Arial"/>
          <w:color w:val="000000" w:themeColor="text1"/>
          <w:sz w:val="24"/>
          <w:szCs w:val="24"/>
          <w:lang w:val="es-ES" w:eastAsia="es-ES"/>
        </w:rPr>
        <w:t xml:space="preserve"> lo cierto es que son piedra cardinal en el Estado Constitucional de Derecho que estamos llamados a hacer prevalecer en nuestro país.</w:t>
      </w:r>
    </w:p>
    <w:p w:rsidR="005F7BB4" w:rsidRPr="00CF18AC" w:rsidRDefault="005F7BB4" w:rsidP="005F7BB4">
      <w:pPr>
        <w:spacing w:before="240" w:after="0" w:line="360" w:lineRule="auto"/>
        <w:contextualSpacing/>
        <w:jc w:val="both"/>
        <w:rPr>
          <w:rFonts w:ascii="Palatino Linotype" w:hAnsi="Palatino Linotype" w:cs="Arial"/>
          <w:color w:val="000000" w:themeColor="text1"/>
          <w:sz w:val="24"/>
          <w:szCs w:val="24"/>
        </w:rPr>
      </w:pPr>
    </w:p>
    <w:p w:rsidR="005F7BB4" w:rsidRDefault="005F7BB4" w:rsidP="00E919D3">
      <w:pPr>
        <w:pStyle w:val="Prrafodelista"/>
        <w:keepNext/>
        <w:keepLines/>
        <w:numPr>
          <w:ilvl w:val="0"/>
          <w:numId w:val="24"/>
        </w:numPr>
        <w:spacing w:before="40" w:after="0" w:line="360" w:lineRule="auto"/>
        <w:outlineLvl w:val="1"/>
        <w:rPr>
          <w:rFonts w:ascii="Palatino Linotype" w:eastAsiaTheme="majorEastAsia" w:hAnsi="Palatino Linotype" w:cs="Arial"/>
          <w:b/>
          <w:iCs/>
          <w:color w:val="000000" w:themeColor="text1"/>
          <w:sz w:val="24"/>
          <w:szCs w:val="24"/>
        </w:rPr>
      </w:pPr>
      <w:bookmarkStart w:id="6" w:name="_Toc508378629"/>
      <w:bookmarkStart w:id="7" w:name="_Toc15298364"/>
      <w:r w:rsidRPr="00E919D3">
        <w:rPr>
          <w:rFonts w:ascii="Palatino Linotype" w:eastAsiaTheme="majorEastAsia" w:hAnsi="Palatino Linotype" w:cs="Arial"/>
          <w:b/>
          <w:iCs/>
          <w:color w:val="000000" w:themeColor="text1"/>
          <w:sz w:val="24"/>
          <w:szCs w:val="24"/>
        </w:rPr>
        <w:t>Las garantías primarias del derecho de acceso a la información pública.</w:t>
      </w:r>
      <w:bookmarkEnd w:id="6"/>
      <w:bookmarkEnd w:id="7"/>
    </w:p>
    <w:p w:rsidR="00E919D3" w:rsidRPr="00E919D3" w:rsidRDefault="00E919D3" w:rsidP="00E919D3">
      <w:pPr>
        <w:pStyle w:val="Prrafodelista"/>
        <w:keepNext/>
        <w:keepLines/>
        <w:spacing w:before="40" w:after="0" w:line="360" w:lineRule="auto"/>
        <w:ind w:left="1080"/>
        <w:outlineLvl w:val="1"/>
        <w:rPr>
          <w:rFonts w:ascii="Palatino Linotype" w:eastAsiaTheme="majorEastAsia" w:hAnsi="Palatino Linotype" w:cs="Arial"/>
          <w:b/>
          <w:iCs/>
          <w:color w:val="000000" w:themeColor="text1"/>
          <w:sz w:val="24"/>
          <w:szCs w:val="24"/>
        </w:rPr>
      </w:pPr>
    </w:p>
    <w:p w:rsidR="005F7BB4" w:rsidRDefault="005F7BB4" w:rsidP="00E919D3">
      <w:pPr>
        <w:pStyle w:val="Prrafodelista"/>
        <w:numPr>
          <w:ilvl w:val="0"/>
          <w:numId w:val="11"/>
        </w:numPr>
        <w:spacing w:before="240" w:after="240" w:line="360" w:lineRule="auto"/>
        <w:ind w:left="0"/>
        <w:jc w:val="both"/>
        <w:rPr>
          <w:rFonts w:ascii="Palatino Linotype" w:hAnsi="Palatino Linotype" w:cs="Arial"/>
          <w:i/>
          <w:color w:val="000000" w:themeColor="text1"/>
          <w:sz w:val="24"/>
          <w:szCs w:val="24"/>
        </w:rPr>
      </w:pPr>
      <w:r w:rsidRPr="00CF18AC">
        <w:rPr>
          <w:rFonts w:ascii="Palatino Linotype" w:hAnsi="Palatino Linotype" w:cs="Arial"/>
          <w:color w:val="000000" w:themeColor="text1"/>
          <w:sz w:val="24"/>
          <w:szCs w:val="24"/>
        </w:rPr>
        <w:t xml:space="preserve">Como lo establece la doctrina y lo señala nuestro texto fundamental, para que esos derechos no sean sólo proclamas políticas sino realmente efectivos se requiere de la existencia de garantías constitucionales que permitan su ejercicio o protección, las que pueden ser de carácter primario cuando consisten en </w:t>
      </w:r>
      <w:r w:rsidRPr="00CF18AC">
        <w:rPr>
          <w:rFonts w:ascii="Palatino Linotype" w:hAnsi="Palatino Linotype" w:cs="Arial"/>
          <w:i/>
          <w:color w:val="000000" w:themeColor="text1"/>
          <w:sz w:val="24"/>
          <w:szCs w:val="24"/>
        </w:rPr>
        <w:t>las</w:t>
      </w:r>
      <w:r w:rsidRPr="00CF18AC">
        <w:rPr>
          <w:rFonts w:ascii="Palatino Linotype" w:hAnsi="Palatino Linotype" w:cs="Arial"/>
          <w:color w:val="000000" w:themeColor="text1"/>
          <w:sz w:val="24"/>
          <w:szCs w:val="24"/>
        </w:rPr>
        <w:t xml:space="preserve"> </w:t>
      </w:r>
      <w:r w:rsidRPr="00CF18AC">
        <w:rPr>
          <w:rFonts w:ascii="Palatino Linotype" w:hAnsi="Palatino Linotype" w:cs="Arial"/>
          <w:i/>
          <w:color w:val="000000" w:themeColor="text1"/>
          <w:sz w:val="24"/>
          <w:szCs w:val="24"/>
        </w:rPr>
        <w:t>obligaciones o prohibiciones inmediatamente correlativas a los derechos establecidos en las constituciones</w:t>
      </w:r>
      <w:r w:rsidRPr="00CF18AC">
        <w:rPr>
          <w:rFonts w:ascii="Palatino Linotype" w:hAnsi="Palatino Linotype" w:cs="Arial"/>
          <w:i/>
          <w:color w:val="000000" w:themeColor="text1"/>
          <w:sz w:val="24"/>
          <w:szCs w:val="24"/>
          <w:vertAlign w:val="superscript"/>
        </w:rPr>
        <w:footnoteReference w:id="3"/>
      </w:r>
      <w:r w:rsidRPr="00CF18AC">
        <w:rPr>
          <w:rFonts w:ascii="Palatino Linotype" w:hAnsi="Palatino Linotype" w:cs="Arial"/>
          <w:color w:val="000000" w:themeColor="text1"/>
          <w:sz w:val="24"/>
          <w:szCs w:val="24"/>
        </w:rPr>
        <w:t xml:space="preserve"> o bien </w:t>
      </w:r>
      <w:r w:rsidRPr="00CF18AC">
        <w:rPr>
          <w:rFonts w:ascii="Palatino Linotype" w:hAnsi="Palatino Linotype" w:cs="Arial"/>
          <w:i/>
          <w:color w:val="000000" w:themeColor="text1"/>
          <w:sz w:val="24"/>
          <w:szCs w:val="24"/>
        </w:rPr>
        <w:t>como la suma de las garantías positivas y de las garantías negativas,</w:t>
      </w:r>
      <w:r w:rsidRPr="00CF18AC">
        <w:rPr>
          <w:rFonts w:ascii="Palatino Linotype" w:hAnsi="Palatino Linotype" w:cs="Arial"/>
          <w:i/>
          <w:color w:val="000000" w:themeColor="text1"/>
          <w:sz w:val="24"/>
          <w:szCs w:val="24"/>
          <w:vertAlign w:val="superscript"/>
        </w:rPr>
        <w:footnoteReference w:id="4"/>
      </w:r>
      <w:r w:rsidRPr="00CF18AC">
        <w:rPr>
          <w:rFonts w:ascii="Palatino Linotype" w:hAnsi="Palatino Linotype" w:cs="Arial"/>
          <w:color w:val="000000" w:themeColor="text1"/>
          <w:sz w:val="24"/>
          <w:szCs w:val="24"/>
        </w:rPr>
        <w:t xml:space="preserve"> lo que en materia de acceso a la información pública se aprecia en dos obligaciones impuestas al poder público consistentes en difundir, de oficio, un conjunto de información común para todos los Sujetos Obligados y específica de acuerdo con las funciones de cada uno de ellos; en segundo término, lo que el legislador ordinario en el estado </w:t>
      </w:r>
      <w:r w:rsidRPr="00CF18AC">
        <w:rPr>
          <w:rFonts w:ascii="Palatino Linotype" w:hAnsi="Palatino Linotype" w:cs="Arial"/>
          <w:color w:val="000000" w:themeColor="text1"/>
          <w:sz w:val="24"/>
          <w:szCs w:val="24"/>
        </w:rPr>
        <w:lastRenderedPageBreak/>
        <w:t xml:space="preserve">de México estableció textualmente en el artículo 150 de la reciente ley de la materia al señalar que </w:t>
      </w:r>
      <w:r w:rsidRPr="00CF18AC">
        <w:rPr>
          <w:rFonts w:ascii="Palatino Linotype" w:hAnsi="Palatino Linotype" w:cs="Arial"/>
          <w:i/>
          <w:color w:val="000000" w:themeColor="text1"/>
          <w:sz w:val="24"/>
          <w:szCs w:val="24"/>
        </w:rPr>
        <w:t xml:space="preserve">el procedimiento de acceso a la información pública es la garantía del derecho en cuestión. </w:t>
      </w:r>
    </w:p>
    <w:p w:rsidR="00E919D3" w:rsidRDefault="00E919D3" w:rsidP="00E919D3">
      <w:pPr>
        <w:pStyle w:val="Prrafodelista"/>
        <w:spacing w:before="240" w:after="240" w:line="360" w:lineRule="auto"/>
        <w:ind w:left="0"/>
        <w:jc w:val="both"/>
        <w:rPr>
          <w:rFonts w:ascii="Palatino Linotype" w:hAnsi="Palatino Linotype" w:cs="Arial"/>
          <w:i/>
          <w:color w:val="000000" w:themeColor="text1"/>
          <w:sz w:val="24"/>
          <w:szCs w:val="24"/>
        </w:rPr>
      </w:pPr>
    </w:p>
    <w:p w:rsidR="00E919D3" w:rsidRDefault="005F7BB4" w:rsidP="00E919D3">
      <w:pPr>
        <w:pStyle w:val="Prrafodelista"/>
        <w:numPr>
          <w:ilvl w:val="0"/>
          <w:numId w:val="11"/>
        </w:numPr>
        <w:spacing w:before="240" w:after="240" w:line="360" w:lineRule="auto"/>
        <w:ind w:left="0"/>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 Por lo tanto, cuando </w:t>
      </w:r>
      <w:r>
        <w:rPr>
          <w:rFonts w:ascii="Palatino Linotype" w:hAnsi="Palatino Linotype" w:cs="Arial"/>
          <w:color w:val="000000" w:themeColor="text1"/>
          <w:sz w:val="24"/>
          <w:szCs w:val="24"/>
        </w:rPr>
        <w:t>el particular</w:t>
      </w:r>
      <w:r w:rsidRPr="00CF18AC">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presentó</w:t>
      </w:r>
      <w:r w:rsidRPr="00CF18AC">
        <w:rPr>
          <w:rFonts w:ascii="Palatino Linotype" w:hAnsi="Palatino Linotype" w:cs="Arial"/>
          <w:color w:val="000000" w:themeColor="text1"/>
          <w:sz w:val="24"/>
          <w:szCs w:val="24"/>
        </w:rPr>
        <w:t xml:space="preserve"> la solicitud de acceso a la información pública ante el </w:t>
      </w:r>
      <w:r>
        <w:rPr>
          <w:rFonts w:ascii="Palatino Linotype" w:hAnsi="Palatino Linotype" w:cs="Arial"/>
          <w:color w:val="000000" w:themeColor="text1"/>
          <w:sz w:val="24"/>
          <w:szCs w:val="24"/>
        </w:rPr>
        <w:t>Sujeto Obligado</w:t>
      </w:r>
      <w:r w:rsidRPr="00CF18AC">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ejerció el</w:t>
      </w:r>
      <w:r w:rsidRPr="00CF18AC">
        <w:rPr>
          <w:rFonts w:ascii="Palatino Linotype" w:hAnsi="Palatino Linotype" w:cs="Arial"/>
          <w:color w:val="000000" w:themeColor="text1"/>
          <w:sz w:val="24"/>
          <w:szCs w:val="24"/>
        </w:rPr>
        <w:t xml:space="preserve"> derecho en cuestión a través de su garantía primaria </w:t>
      </w:r>
      <w:r>
        <w:rPr>
          <w:rFonts w:ascii="Palatino Linotype" w:hAnsi="Palatino Linotype" w:cs="Arial"/>
          <w:color w:val="000000" w:themeColor="text1"/>
          <w:sz w:val="24"/>
          <w:szCs w:val="24"/>
        </w:rPr>
        <w:t>depositada en la autoridad</w:t>
      </w:r>
      <w:r w:rsidRPr="00CF18AC">
        <w:rPr>
          <w:rFonts w:ascii="Palatino Linotype" w:hAnsi="Palatino Linotype" w:cs="Arial"/>
          <w:color w:val="000000" w:themeColor="text1"/>
          <w:sz w:val="24"/>
          <w:szCs w:val="24"/>
        </w:rPr>
        <w:t xml:space="preserve"> quien, por mandato categórico del tercer párrafo del artículo primero de la Constitución Federal</w:t>
      </w:r>
      <w:r w:rsidRPr="00CF18AC">
        <w:rPr>
          <w:rFonts w:ascii="Palatino Linotype" w:eastAsia="Calibri" w:hAnsi="Palatino Linotype" w:cs="Arial"/>
          <w:color w:val="000000" w:themeColor="text1"/>
          <w:sz w:val="24"/>
          <w:szCs w:val="24"/>
          <w:lang w:val="es-ES" w:eastAsia="es-ES"/>
        </w:rPr>
        <w:t xml:space="preserve">, se encuentra obligado, como todas las demás autoridades, en el ámbito de su competencia, a </w:t>
      </w:r>
      <w:r w:rsidRPr="00CF18AC">
        <w:rPr>
          <w:rFonts w:ascii="Palatino Linotype" w:eastAsia="Calibri" w:hAnsi="Palatino Linotype" w:cs="Arial"/>
          <w:b/>
          <w:color w:val="000000" w:themeColor="text1"/>
          <w:sz w:val="24"/>
          <w:szCs w:val="24"/>
          <w:lang w:val="es-ES" w:eastAsia="es-ES"/>
        </w:rPr>
        <w:t>“promover, respetar, proteger y garantizar los derechos humanos</w:t>
      </w:r>
      <w:r w:rsidRPr="00CF18AC">
        <w:rPr>
          <w:rFonts w:ascii="Palatino Linotype" w:eastAsia="Calibri" w:hAnsi="Palatino Linotype" w:cs="Arial"/>
          <w:color w:val="000000" w:themeColor="text1"/>
          <w:sz w:val="24"/>
          <w:szCs w:val="24"/>
          <w:lang w:val="es-ES" w:eastAsia="es-ES"/>
        </w:rPr>
        <w:t>”, entre los cuales se encuentra el de acceso a la información.</w:t>
      </w:r>
    </w:p>
    <w:p w:rsidR="00E919D3" w:rsidRPr="00E919D3" w:rsidRDefault="00E919D3" w:rsidP="00E919D3">
      <w:pPr>
        <w:pStyle w:val="Prrafodelista"/>
        <w:rPr>
          <w:rFonts w:ascii="Palatino Linotype" w:hAnsi="Palatino Linotype" w:cs="Arial"/>
          <w:color w:val="000000" w:themeColor="text1"/>
          <w:sz w:val="24"/>
          <w:szCs w:val="24"/>
        </w:rPr>
      </w:pPr>
    </w:p>
    <w:p w:rsidR="005F7BB4" w:rsidRPr="00E919D3" w:rsidRDefault="005F7BB4" w:rsidP="00E919D3">
      <w:pPr>
        <w:pStyle w:val="Prrafodelista"/>
        <w:numPr>
          <w:ilvl w:val="0"/>
          <w:numId w:val="11"/>
        </w:numPr>
        <w:spacing w:before="240" w:after="240" w:line="360" w:lineRule="auto"/>
        <w:ind w:left="0"/>
        <w:jc w:val="both"/>
        <w:rPr>
          <w:rFonts w:ascii="Palatino Linotype" w:hAnsi="Palatino Linotype" w:cs="Arial"/>
          <w:color w:val="000000" w:themeColor="text1"/>
          <w:sz w:val="24"/>
          <w:szCs w:val="24"/>
        </w:rPr>
      </w:pPr>
      <w:r w:rsidRPr="00E919D3">
        <w:rPr>
          <w:rFonts w:ascii="Palatino Linotype" w:hAnsi="Palatino Linotype" w:cs="Arial"/>
          <w:color w:val="000000" w:themeColor="text1"/>
          <w:sz w:val="24"/>
          <w:szCs w:val="24"/>
        </w:rPr>
        <w:t>La garantía primaria, en la que se constituye la solicitud de acceso a la información pública, impone a la autoridad la obligación de atender la solicitud en los términos requeridos, obviamente, como el resto de los derechos, ninguno es absoluto y es posible limitarlos y restringirlos, siguiendo el procedimiento que para tal efecto se encuentra establecido, sin embargo, en el caso que se resuelve,</w:t>
      </w:r>
      <w:r w:rsidRPr="00E919D3">
        <w:rPr>
          <w:rFonts w:ascii="Palatino Linotype" w:hAnsi="Palatino Linotype" w:cs="Arial"/>
          <w:b/>
          <w:color w:val="000000" w:themeColor="text1"/>
          <w:sz w:val="24"/>
          <w:szCs w:val="24"/>
        </w:rPr>
        <w:t xml:space="preserve"> </w:t>
      </w:r>
      <w:r w:rsidRPr="00E919D3">
        <w:rPr>
          <w:rFonts w:ascii="Palatino Linotype" w:hAnsi="Palatino Linotype" w:cs="Arial"/>
          <w:color w:val="000000" w:themeColor="text1"/>
          <w:sz w:val="24"/>
          <w:szCs w:val="24"/>
        </w:rPr>
        <w:t>el</w:t>
      </w:r>
      <w:r w:rsidRPr="00E919D3">
        <w:rPr>
          <w:rFonts w:ascii="Palatino Linotype" w:hAnsi="Palatino Linotype" w:cs="Arial"/>
          <w:b/>
          <w:color w:val="000000" w:themeColor="text1"/>
          <w:sz w:val="24"/>
          <w:szCs w:val="24"/>
        </w:rPr>
        <w:t xml:space="preserve"> RECURRENTE</w:t>
      </w:r>
      <w:r w:rsidRPr="00E919D3">
        <w:rPr>
          <w:rFonts w:ascii="Palatino Linotype" w:hAnsi="Palatino Linotype" w:cs="Arial"/>
          <w:color w:val="000000" w:themeColor="text1"/>
          <w:sz w:val="24"/>
          <w:szCs w:val="24"/>
        </w:rPr>
        <w:t xml:space="preserve"> requirió Copia Certificada información de grados académicos, títulos y cédula profesional de cada uno de los directores y del Presidente Municipal, es decir la forma en la que requiere acceder a la información solicitada, según lo establece el artículo 155 fracción V de la Ley de Transparencia y Acceso a la Información Pública del Estado de México y Municipios, y en estricto sentido, la persona que desea </w:t>
      </w:r>
      <w:r w:rsidRPr="00E919D3">
        <w:rPr>
          <w:rFonts w:ascii="Palatino Linotype" w:hAnsi="Palatino Linotype" w:cs="Arial"/>
          <w:color w:val="000000" w:themeColor="text1"/>
          <w:sz w:val="24"/>
          <w:szCs w:val="24"/>
        </w:rPr>
        <w:lastRenderedPageBreak/>
        <w:t xml:space="preserve">acceder a la información,  en copia certificada genera un costo como lo es el caso, deberá cubrir el mismo, para que le sea entregada la información que requiere, sin embargo, el </w:t>
      </w:r>
      <w:r w:rsidRPr="00E919D3">
        <w:rPr>
          <w:rFonts w:ascii="Palatino Linotype" w:hAnsi="Palatino Linotype" w:cs="Arial"/>
          <w:b/>
          <w:color w:val="000000" w:themeColor="text1"/>
          <w:sz w:val="24"/>
          <w:szCs w:val="24"/>
        </w:rPr>
        <w:t>SUJETO OBLIGADO</w:t>
      </w:r>
      <w:r w:rsidRPr="00E919D3">
        <w:rPr>
          <w:rFonts w:ascii="Palatino Linotype" w:hAnsi="Palatino Linotype" w:cs="Arial"/>
          <w:color w:val="000000" w:themeColor="text1"/>
          <w:sz w:val="24"/>
          <w:szCs w:val="24"/>
        </w:rPr>
        <w:t xml:space="preserve">, además de atender parcialmente los planteamientos formulados no respondió en los términos o de acuerdo a la modalidad elegida por el solicitante,  por lo tanto el </w:t>
      </w:r>
      <w:r w:rsidRPr="00E919D3">
        <w:rPr>
          <w:rFonts w:ascii="Palatino Linotype" w:hAnsi="Palatino Linotype" w:cs="Arial"/>
          <w:b/>
          <w:color w:val="000000" w:themeColor="text1"/>
          <w:sz w:val="24"/>
          <w:szCs w:val="24"/>
        </w:rPr>
        <w:t xml:space="preserve">Municipio de Ecatepec de Morelos </w:t>
      </w:r>
      <w:r w:rsidRPr="00E919D3">
        <w:rPr>
          <w:rFonts w:ascii="Palatino Linotype" w:hAnsi="Palatino Linotype" w:cs="Arial"/>
          <w:color w:val="000000" w:themeColor="text1"/>
          <w:sz w:val="24"/>
          <w:szCs w:val="24"/>
        </w:rPr>
        <w:t>es responsable de cubrir los costos de reproducción y envío.</w:t>
      </w:r>
    </w:p>
    <w:p w:rsidR="005F7BB4" w:rsidRDefault="005F7BB4" w:rsidP="005F7BB4">
      <w:pPr>
        <w:pStyle w:val="Prrafodelista"/>
        <w:spacing w:line="360" w:lineRule="auto"/>
        <w:rPr>
          <w:rFonts w:ascii="Palatino Linotype" w:hAnsi="Palatino Linotype" w:cs="Arial"/>
          <w:color w:val="000000" w:themeColor="text1"/>
        </w:rPr>
      </w:pPr>
    </w:p>
    <w:p w:rsidR="005F7BB4" w:rsidRPr="00463C48" w:rsidRDefault="005F7BB4" w:rsidP="00E919D3">
      <w:pPr>
        <w:pStyle w:val="Prrafodelista"/>
        <w:numPr>
          <w:ilvl w:val="0"/>
          <w:numId w:val="11"/>
        </w:numPr>
        <w:spacing w:before="240" w:after="240" w:line="360" w:lineRule="auto"/>
        <w:ind w:left="0"/>
        <w:jc w:val="both"/>
        <w:rPr>
          <w:rFonts w:ascii="Palatino Linotype" w:hAnsi="Palatino Linotype" w:cs="Arial"/>
          <w:color w:val="000000" w:themeColor="text1"/>
          <w:sz w:val="24"/>
          <w:szCs w:val="24"/>
        </w:rPr>
      </w:pPr>
      <w:r w:rsidRPr="00225079">
        <w:rPr>
          <w:rFonts w:ascii="Palatino Linotype" w:hAnsi="Palatino Linotype"/>
          <w:sz w:val="24"/>
        </w:rPr>
        <w:t xml:space="preserve">Dicho costo, debe ser cubierto por todas las personas que soliciten la información en modalidades que generen un costo, siempre y cuando el </w:t>
      </w:r>
      <w:r>
        <w:rPr>
          <w:rFonts w:ascii="Palatino Linotype" w:hAnsi="Palatino Linotype"/>
          <w:b/>
          <w:sz w:val="24"/>
        </w:rPr>
        <w:t>SUJETO OBLIGADO</w:t>
      </w:r>
      <w:r w:rsidRPr="00225079">
        <w:rPr>
          <w:rFonts w:ascii="Palatino Linotype" w:hAnsi="Palatino Linotype"/>
          <w:sz w:val="24"/>
        </w:rPr>
        <w:t xml:space="preserve"> en cumplimiento de sus obligaciones respete, promueva y garantice el derecho de acceso a la información, lo que desafortunadamente en el presente caso no sucedió.</w:t>
      </w:r>
    </w:p>
    <w:p w:rsidR="005F7BB4" w:rsidRDefault="005F7BB4" w:rsidP="005F7BB4">
      <w:pPr>
        <w:pStyle w:val="Prrafodelista"/>
        <w:rPr>
          <w:rFonts w:ascii="Palatino Linotype" w:hAnsi="Palatino Linotype" w:cs="Arial"/>
          <w:color w:val="000000" w:themeColor="text1"/>
        </w:rPr>
      </w:pPr>
    </w:p>
    <w:p w:rsidR="005F7BB4" w:rsidRDefault="005F7BB4" w:rsidP="00E919D3">
      <w:pPr>
        <w:keepNext/>
        <w:keepLines/>
        <w:numPr>
          <w:ilvl w:val="0"/>
          <w:numId w:val="24"/>
        </w:numPr>
        <w:spacing w:before="40" w:after="0" w:line="360" w:lineRule="auto"/>
        <w:outlineLvl w:val="1"/>
        <w:rPr>
          <w:rFonts w:ascii="Palatino Linotype" w:eastAsiaTheme="majorEastAsia" w:hAnsi="Palatino Linotype" w:cs="Arial"/>
          <w:b/>
          <w:iCs/>
          <w:color w:val="000000" w:themeColor="text1"/>
          <w:sz w:val="24"/>
          <w:szCs w:val="24"/>
        </w:rPr>
      </w:pPr>
      <w:bookmarkStart w:id="8" w:name="_Toc508378630"/>
      <w:bookmarkStart w:id="9" w:name="_Toc15298365"/>
      <w:r w:rsidRPr="00CF18AC">
        <w:rPr>
          <w:rFonts w:ascii="Palatino Linotype" w:eastAsiaTheme="majorEastAsia" w:hAnsi="Palatino Linotype" w:cs="Arial"/>
          <w:b/>
          <w:iCs/>
          <w:color w:val="000000" w:themeColor="text1"/>
          <w:sz w:val="24"/>
          <w:szCs w:val="24"/>
        </w:rPr>
        <w:t>La garantía secundaria del derecho de acceso a la información pública.</w:t>
      </w:r>
      <w:bookmarkEnd w:id="8"/>
      <w:bookmarkEnd w:id="9"/>
    </w:p>
    <w:p w:rsidR="005F7BB4" w:rsidRPr="00CF18AC" w:rsidRDefault="005F7BB4" w:rsidP="00E919D3">
      <w:pPr>
        <w:pStyle w:val="Prrafodelista"/>
        <w:numPr>
          <w:ilvl w:val="0"/>
          <w:numId w:val="11"/>
        </w:numPr>
        <w:spacing w:before="240" w:after="240" w:line="360" w:lineRule="auto"/>
        <w:ind w:left="0"/>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 Como también lo establece la doctrina y lo determina así nuestro texto fundamental, para asegurar la efectividad de los derechos no son suficientes las obligaciones y prohibiciones inmediatas a la autoridad, y ante una eventual afectación al derecho humano, el Estado tiene la obligación de </w:t>
      </w:r>
      <w:r w:rsidRPr="00CF18AC">
        <w:rPr>
          <w:rFonts w:ascii="Palatino Linotype" w:hAnsi="Palatino Linotype" w:cs="Arial"/>
          <w:i/>
          <w:color w:val="000000" w:themeColor="text1"/>
          <w:sz w:val="24"/>
          <w:szCs w:val="24"/>
        </w:rPr>
        <w:t>investigar, sancionar y reparar</w:t>
      </w:r>
      <w:r w:rsidRPr="00CF18AC">
        <w:rPr>
          <w:rFonts w:ascii="Palatino Linotype" w:hAnsi="Palatino Linotype" w:cs="Arial"/>
          <w:color w:val="000000" w:themeColor="text1"/>
          <w:sz w:val="24"/>
          <w:szCs w:val="24"/>
        </w:rPr>
        <w:t xml:space="preserve"> sus violaciones. </w:t>
      </w:r>
    </w:p>
    <w:p w:rsidR="005F7BB4" w:rsidRPr="00CF18AC" w:rsidRDefault="005F7BB4" w:rsidP="005F7BB4">
      <w:pPr>
        <w:spacing w:after="0" w:line="360" w:lineRule="auto"/>
        <w:contextualSpacing/>
        <w:jc w:val="both"/>
        <w:rPr>
          <w:rFonts w:ascii="Palatino Linotype" w:hAnsi="Palatino Linotype" w:cs="Arial"/>
          <w:color w:val="000000" w:themeColor="text1"/>
          <w:sz w:val="24"/>
          <w:szCs w:val="24"/>
        </w:rPr>
      </w:pPr>
    </w:p>
    <w:p w:rsidR="005F7BB4" w:rsidRDefault="005F7BB4" w:rsidP="00E919D3">
      <w:pPr>
        <w:pStyle w:val="Prrafodelista"/>
        <w:numPr>
          <w:ilvl w:val="0"/>
          <w:numId w:val="11"/>
        </w:numPr>
        <w:spacing w:before="240" w:after="240" w:line="360" w:lineRule="auto"/>
        <w:ind w:left="0"/>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lastRenderedPageBreak/>
        <w:t>Las propias obligaciones internacionales adquiridas por el Estado Mexicano  determinan que nuestro país cuente con un procedimiento sencillo, rápido</w:t>
      </w:r>
      <w:r w:rsidRPr="00CF18AC">
        <w:rPr>
          <w:rFonts w:ascii="Palatino Linotype" w:hAnsi="Palatino Linotype" w:cs="Arial"/>
          <w:color w:val="000000" w:themeColor="text1"/>
          <w:sz w:val="24"/>
          <w:szCs w:val="24"/>
          <w:vertAlign w:val="superscript"/>
        </w:rPr>
        <w:footnoteReference w:id="5"/>
      </w:r>
      <w:r w:rsidRPr="00CF18AC">
        <w:rPr>
          <w:rFonts w:ascii="Palatino Linotype" w:hAnsi="Palatino Linotype" w:cs="Arial"/>
          <w:color w:val="000000" w:themeColor="text1"/>
          <w:sz w:val="24"/>
          <w:szCs w:val="24"/>
        </w:rPr>
        <w:t xml:space="preserve"> y  efectivo</w:t>
      </w:r>
      <w:r w:rsidRPr="00CF18AC">
        <w:rPr>
          <w:rFonts w:ascii="Palatino Linotype" w:hAnsi="Palatino Linotype" w:cs="Arial"/>
          <w:color w:val="000000" w:themeColor="text1"/>
          <w:sz w:val="24"/>
          <w:szCs w:val="24"/>
          <w:vertAlign w:val="superscript"/>
        </w:rPr>
        <w:footnoteReference w:id="6"/>
      </w:r>
      <w:r w:rsidRPr="00CF18AC">
        <w:rPr>
          <w:rFonts w:ascii="Palatino Linotype" w:hAnsi="Palatino Linotype" w:cs="Arial"/>
          <w:color w:val="000000" w:themeColor="text1"/>
          <w:sz w:val="24"/>
          <w:szCs w:val="24"/>
        </w:rPr>
        <w:t xml:space="preserve"> para la protección del derecho de acceso a la información pública, que ha implicado el diseño del recurso de revisión como una garantía secundaria, desahogada en sede de un órgano constitucionalmente autónomo, cuya fuerza en sus resoluciones es definitiva en todos aquellos casos en los que las pretensiones de la persona se colman ordenando al </w:t>
      </w:r>
      <w:r>
        <w:rPr>
          <w:rFonts w:ascii="Palatino Linotype" w:hAnsi="Palatino Linotype" w:cs="Arial"/>
          <w:b/>
          <w:color w:val="000000" w:themeColor="text1"/>
          <w:sz w:val="24"/>
          <w:szCs w:val="24"/>
        </w:rPr>
        <w:t>SUJETO OBLIGADO</w:t>
      </w:r>
      <w:r w:rsidRPr="00CF18AC">
        <w:rPr>
          <w:rFonts w:ascii="Palatino Linotype" w:hAnsi="Palatino Linotype" w:cs="Arial"/>
          <w:color w:val="000000" w:themeColor="text1"/>
          <w:sz w:val="24"/>
          <w:szCs w:val="24"/>
        </w:rPr>
        <w:t xml:space="preserve"> la entrega de la información requerida y a través del desahogo de un procedimiento materialmente jurisdiccional.</w:t>
      </w:r>
      <w:r w:rsidRPr="00CF18AC">
        <w:rPr>
          <w:rFonts w:ascii="Palatino Linotype" w:hAnsi="Palatino Linotype" w:cs="Arial"/>
          <w:color w:val="000000" w:themeColor="text1"/>
          <w:sz w:val="24"/>
          <w:szCs w:val="24"/>
          <w:vertAlign w:val="superscript"/>
        </w:rPr>
        <w:footnoteReference w:id="7"/>
      </w:r>
      <w:r w:rsidRPr="00CF18AC">
        <w:rPr>
          <w:rFonts w:ascii="Palatino Linotype" w:hAnsi="Palatino Linotype" w:cs="Arial"/>
          <w:color w:val="000000" w:themeColor="text1"/>
          <w:sz w:val="24"/>
          <w:szCs w:val="24"/>
        </w:rPr>
        <w:t xml:space="preserve"> </w:t>
      </w:r>
    </w:p>
    <w:p w:rsidR="00E919D3" w:rsidRPr="00E919D3" w:rsidRDefault="00E919D3" w:rsidP="00E919D3">
      <w:pPr>
        <w:pStyle w:val="Prrafodelista"/>
        <w:rPr>
          <w:rFonts w:ascii="Palatino Linotype" w:hAnsi="Palatino Linotype" w:cs="Arial"/>
          <w:color w:val="000000" w:themeColor="text1"/>
          <w:sz w:val="24"/>
          <w:szCs w:val="24"/>
        </w:rPr>
      </w:pPr>
    </w:p>
    <w:p w:rsidR="005F7BB4" w:rsidRPr="00E919D3" w:rsidRDefault="005F7BB4" w:rsidP="00E919D3">
      <w:pPr>
        <w:pStyle w:val="Prrafodelista"/>
        <w:numPr>
          <w:ilvl w:val="0"/>
          <w:numId w:val="11"/>
        </w:numPr>
        <w:spacing w:before="240" w:after="240" w:line="360" w:lineRule="auto"/>
        <w:ind w:left="0"/>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Lo que fue entendido por el legislador ordinario mexiquense quien a través del artículo 176 de la ley estatal de transparencia citada previamente, ha señalado que  </w:t>
      </w:r>
      <w:r w:rsidRPr="00CF18AC">
        <w:rPr>
          <w:rFonts w:ascii="Palatino Linotype" w:hAnsi="Palatino Linotype" w:cs="Arial"/>
          <w:i/>
          <w:color w:val="000000" w:themeColor="text1"/>
          <w:sz w:val="24"/>
          <w:szCs w:val="24"/>
        </w:rPr>
        <w:t>(e)l recurso de revisión es la garantía secundaria mediante la cual se pretende reparar cualquier posible afectación al derecho de acceso a la información pública</w:t>
      </w:r>
      <w:r w:rsidRPr="00CF18AC">
        <w:rPr>
          <w:rFonts w:ascii="Palatino Linotype" w:hAnsi="Palatino Linotype" w:cs="Arial"/>
          <w:color w:val="000000" w:themeColor="text1"/>
          <w:sz w:val="24"/>
          <w:szCs w:val="24"/>
        </w:rPr>
        <w:t xml:space="preserve">, con lo que además somos armónicos con los criterios doctrinales que ubican a la garantía secundaria como </w:t>
      </w:r>
      <w:r w:rsidRPr="00CF18AC">
        <w:rPr>
          <w:rFonts w:ascii="Palatino Linotype" w:hAnsi="Palatino Linotype" w:cs="Arial"/>
          <w:i/>
          <w:color w:val="000000" w:themeColor="text1"/>
          <w:sz w:val="24"/>
          <w:szCs w:val="24"/>
        </w:rPr>
        <w:t xml:space="preserve">la reparación judicial </w:t>
      </w:r>
      <w:r w:rsidRPr="00CF18AC">
        <w:rPr>
          <w:rFonts w:ascii="Palatino Linotype" w:hAnsi="Palatino Linotype" w:cs="Arial"/>
          <w:color w:val="000000" w:themeColor="text1"/>
          <w:sz w:val="24"/>
          <w:szCs w:val="24"/>
        </w:rPr>
        <w:t>(en nuestro caso, materialmente jurisdiccional)</w:t>
      </w:r>
      <w:r w:rsidRPr="00CF18AC">
        <w:rPr>
          <w:rFonts w:ascii="Palatino Linotype" w:hAnsi="Palatino Linotype" w:cs="Arial"/>
          <w:i/>
          <w:color w:val="000000" w:themeColor="text1"/>
          <w:sz w:val="24"/>
          <w:szCs w:val="24"/>
        </w:rPr>
        <w:t xml:space="preserve"> de las violaciones de las garantías primarias</w:t>
      </w:r>
      <w:r w:rsidRPr="00CF18AC">
        <w:rPr>
          <w:rFonts w:ascii="Palatino Linotype" w:hAnsi="Palatino Linotype" w:cs="Arial"/>
          <w:i/>
          <w:color w:val="000000" w:themeColor="text1"/>
          <w:sz w:val="24"/>
          <w:szCs w:val="24"/>
          <w:vertAlign w:val="superscript"/>
        </w:rPr>
        <w:footnoteReference w:id="8"/>
      </w:r>
      <w:r w:rsidRPr="00CF18AC">
        <w:rPr>
          <w:rFonts w:ascii="Palatino Linotype" w:hAnsi="Palatino Linotype" w:cs="Arial"/>
          <w:i/>
          <w:color w:val="000000" w:themeColor="text1"/>
          <w:sz w:val="24"/>
          <w:szCs w:val="24"/>
        </w:rPr>
        <w:t xml:space="preserve"> </w:t>
      </w:r>
      <w:r w:rsidRPr="00CF18AC">
        <w:rPr>
          <w:rFonts w:ascii="Palatino Linotype" w:hAnsi="Palatino Linotype" w:cs="Arial"/>
          <w:color w:val="000000" w:themeColor="text1"/>
          <w:sz w:val="24"/>
          <w:szCs w:val="24"/>
        </w:rPr>
        <w:t xml:space="preserve">o como </w:t>
      </w:r>
      <w:r w:rsidRPr="00CF18AC">
        <w:rPr>
          <w:rFonts w:ascii="Palatino Linotype" w:hAnsi="Palatino Linotype" w:cs="Arial"/>
          <w:i/>
          <w:color w:val="000000" w:themeColor="text1"/>
          <w:sz w:val="24"/>
          <w:szCs w:val="24"/>
        </w:rPr>
        <w:t xml:space="preserve">garantías jurisdiccionales de justiciabilidad que intervienen, en caso de violación de las garantías primarias y de los </w:t>
      </w:r>
      <w:r w:rsidRPr="00CF18AC">
        <w:rPr>
          <w:rFonts w:ascii="Palatino Linotype" w:hAnsi="Palatino Linotype" w:cs="Arial"/>
          <w:i/>
          <w:color w:val="000000" w:themeColor="text1"/>
          <w:sz w:val="24"/>
          <w:szCs w:val="24"/>
        </w:rPr>
        <w:lastRenderedPageBreak/>
        <w:t>derechos correlativos, a través de la anulación de los actos inválidos y de la sanción por los actos ilícitos.</w:t>
      </w:r>
      <w:r w:rsidRPr="00CF18AC">
        <w:rPr>
          <w:rFonts w:ascii="Palatino Linotype" w:hAnsi="Palatino Linotype" w:cs="Arial"/>
          <w:i/>
          <w:color w:val="000000" w:themeColor="text1"/>
          <w:sz w:val="24"/>
          <w:szCs w:val="24"/>
          <w:vertAlign w:val="superscript"/>
        </w:rPr>
        <w:footnoteReference w:id="9"/>
      </w:r>
      <w:r w:rsidRPr="00CF18AC">
        <w:rPr>
          <w:rFonts w:ascii="Palatino Linotype" w:hAnsi="Palatino Linotype" w:cs="Arial"/>
          <w:i/>
          <w:color w:val="000000" w:themeColor="text1"/>
          <w:sz w:val="24"/>
          <w:szCs w:val="24"/>
        </w:rPr>
        <w:t xml:space="preserve"> </w:t>
      </w:r>
    </w:p>
    <w:p w:rsidR="00E919D3" w:rsidRPr="00E919D3" w:rsidRDefault="00E919D3" w:rsidP="00E919D3">
      <w:pPr>
        <w:pStyle w:val="Prrafodelista"/>
        <w:rPr>
          <w:rFonts w:ascii="Palatino Linotype" w:hAnsi="Palatino Linotype" w:cs="Arial"/>
          <w:color w:val="000000" w:themeColor="text1"/>
          <w:sz w:val="24"/>
          <w:szCs w:val="24"/>
        </w:rPr>
      </w:pPr>
    </w:p>
    <w:p w:rsidR="005F7BB4" w:rsidRPr="00CF18AC" w:rsidRDefault="005F7BB4" w:rsidP="00E919D3">
      <w:pPr>
        <w:pStyle w:val="Prrafodelista"/>
        <w:numPr>
          <w:ilvl w:val="0"/>
          <w:numId w:val="11"/>
        </w:numPr>
        <w:spacing w:before="240" w:after="240" w:line="360" w:lineRule="auto"/>
        <w:ind w:left="0"/>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En el caso que se resue</w:t>
      </w:r>
      <w:r w:rsidR="00E919D3">
        <w:rPr>
          <w:rFonts w:ascii="Palatino Linotype" w:hAnsi="Palatino Linotype" w:cs="Arial"/>
          <w:color w:val="000000" w:themeColor="text1"/>
          <w:sz w:val="24"/>
          <w:szCs w:val="24"/>
        </w:rPr>
        <w:t>lve debo destacar que la misma L</w:t>
      </w:r>
      <w:r w:rsidRPr="00CF18AC">
        <w:rPr>
          <w:rFonts w:ascii="Palatino Linotype" w:hAnsi="Palatino Linotype" w:cs="Arial"/>
          <w:color w:val="000000" w:themeColor="text1"/>
          <w:sz w:val="24"/>
          <w:szCs w:val="24"/>
        </w:rPr>
        <w:t xml:space="preserve">ey de </w:t>
      </w:r>
      <w:r w:rsidR="00E919D3">
        <w:rPr>
          <w:rFonts w:ascii="Palatino Linotype" w:hAnsi="Palatino Linotype" w:cs="Arial"/>
          <w:color w:val="000000" w:themeColor="text1"/>
          <w:sz w:val="24"/>
          <w:szCs w:val="24"/>
        </w:rPr>
        <w:t>T</w:t>
      </w:r>
      <w:r w:rsidRPr="00CF18AC">
        <w:rPr>
          <w:rFonts w:ascii="Palatino Linotype" w:hAnsi="Palatino Linotype" w:cs="Arial"/>
          <w:color w:val="000000" w:themeColor="text1"/>
          <w:sz w:val="24"/>
          <w:szCs w:val="24"/>
        </w:rPr>
        <w:t>ransparencia ya citada pre</w:t>
      </w:r>
      <w:r>
        <w:rPr>
          <w:rFonts w:ascii="Palatino Linotype" w:hAnsi="Palatino Linotype" w:cs="Arial"/>
          <w:color w:val="000000" w:themeColor="text1"/>
          <w:sz w:val="24"/>
          <w:szCs w:val="24"/>
        </w:rPr>
        <w:t xml:space="preserve">cisa en su artículo 179 fracciones V y </w:t>
      </w:r>
      <w:r w:rsidRPr="00CF18AC">
        <w:rPr>
          <w:rFonts w:ascii="Palatino Linotype" w:hAnsi="Palatino Linotype" w:cs="Arial"/>
          <w:color w:val="000000" w:themeColor="text1"/>
          <w:sz w:val="24"/>
          <w:szCs w:val="24"/>
        </w:rPr>
        <w:t>VI</w:t>
      </w:r>
      <w:r>
        <w:rPr>
          <w:rFonts w:ascii="Palatino Linotype" w:hAnsi="Palatino Linotype" w:cs="Arial"/>
          <w:color w:val="000000" w:themeColor="text1"/>
          <w:sz w:val="24"/>
          <w:szCs w:val="24"/>
        </w:rPr>
        <w:t>II</w:t>
      </w:r>
      <w:r w:rsidRPr="00CF18AC">
        <w:rPr>
          <w:rFonts w:ascii="Palatino Linotype" w:hAnsi="Palatino Linotype" w:cs="Arial"/>
          <w:color w:val="000000" w:themeColor="text1"/>
          <w:sz w:val="24"/>
          <w:szCs w:val="24"/>
        </w:rPr>
        <w:t xml:space="preserve"> que el propio recurso de revisión </w:t>
      </w:r>
      <w:r w:rsidRPr="00CF18AC">
        <w:rPr>
          <w:rFonts w:ascii="Palatino Linotype" w:hAnsi="Palatino Linotype" w:cs="Arial"/>
          <w:i/>
          <w:color w:val="000000" w:themeColor="text1"/>
          <w:sz w:val="24"/>
          <w:szCs w:val="24"/>
        </w:rPr>
        <w:t xml:space="preserve">es un medio de protección </w:t>
      </w:r>
      <w:r w:rsidRPr="00CF18AC">
        <w:rPr>
          <w:rFonts w:ascii="Palatino Linotype" w:hAnsi="Palatino Linotype" w:cs="Arial"/>
          <w:color w:val="000000" w:themeColor="text1"/>
          <w:sz w:val="24"/>
          <w:szCs w:val="24"/>
        </w:rPr>
        <w:t xml:space="preserve">y procede en contra de la entrega </w:t>
      </w:r>
      <w:r w:rsidRPr="00225079">
        <w:rPr>
          <w:rFonts w:ascii="Palatino Linotype" w:hAnsi="Palatino Linotype" w:cs="Arial"/>
          <w:color w:val="000000" w:themeColor="text1"/>
          <w:sz w:val="24"/>
          <w:szCs w:val="24"/>
        </w:rPr>
        <w:t>de</w:t>
      </w:r>
      <w:r>
        <w:rPr>
          <w:rFonts w:ascii="Palatino Linotype" w:hAnsi="Palatino Linotype" w:cs="Arial"/>
          <w:color w:val="000000" w:themeColor="text1"/>
          <w:sz w:val="24"/>
          <w:szCs w:val="24"/>
        </w:rPr>
        <w:t xml:space="preserve"> </w:t>
      </w:r>
      <w:r>
        <w:rPr>
          <w:rFonts w:ascii="Palatino Linotype" w:hAnsi="Palatino Linotype" w:cs="Arial"/>
          <w:i/>
          <w:color w:val="000000" w:themeColor="text1"/>
          <w:sz w:val="24"/>
          <w:szCs w:val="24"/>
        </w:rPr>
        <w:t xml:space="preserve">la entrega de información incompleta </w:t>
      </w:r>
      <w:r>
        <w:rPr>
          <w:rFonts w:ascii="Palatino Linotype" w:hAnsi="Palatino Linotype" w:cs="Arial"/>
          <w:color w:val="000000" w:themeColor="text1"/>
          <w:sz w:val="24"/>
          <w:szCs w:val="24"/>
        </w:rPr>
        <w:t xml:space="preserve">y cuando </w:t>
      </w:r>
      <w:r>
        <w:rPr>
          <w:rFonts w:ascii="Palatino Linotype" w:hAnsi="Palatino Linotype" w:cs="Arial"/>
          <w:i/>
          <w:color w:val="000000" w:themeColor="text1"/>
          <w:sz w:val="24"/>
          <w:szCs w:val="24"/>
        </w:rPr>
        <w:t>la notificación, entrega o puesta a disposición de información en un formato incomprensible y/o no accesible para el solicitante</w:t>
      </w:r>
      <w:r w:rsidRPr="00CF18AC">
        <w:rPr>
          <w:rFonts w:ascii="Palatino Linotype" w:hAnsi="Palatino Linotype" w:cs="Arial"/>
          <w:i/>
          <w:color w:val="000000" w:themeColor="text1"/>
          <w:sz w:val="24"/>
          <w:szCs w:val="24"/>
        </w:rPr>
        <w:t>.</w:t>
      </w:r>
      <w:r w:rsidRPr="00CF18AC">
        <w:rPr>
          <w:rFonts w:ascii="Palatino Linotype" w:hAnsi="Palatino Linotype" w:cs="Arial"/>
          <w:color w:val="000000" w:themeColor="text1"/>
          <w:sz w:val="24"/>
          <w:szCs w:val="24"/>
        </w:rPr>
        <w:t xml:space="preserve"> Por lo que el motivo de inconformidad </w:t>
      </w:r>
      <w:r>
        <w:rPr>
          <w:rFonts w:ascii="Palatino Linotype" w:hAnsi="Palatino Linotype" w:cs="Arial"/>
          <w:color w:val="000000" w:themeColor="text1"/>
          <w:sz w:val="24"/>
          <w:szCs w:val="24"/>
        </w:rPr>
        <w:t xml:space="preserve">consiste en que el </w:t>
      </w:r>
      <w:r>
        <w:rPr>
          <w:rFonts w:ascii="Palatino Linotype" w:hAnsi="Palatino Linotype" w:cs="Arial"/>
          <w:b/>
          <w:color w:val="000000" w:themeColor="text1"/>
          <w:sz w:val="24"/>
          <w:szCs w:val="24"/>
        </w:rPr>
        <w:t xml:space="preserve">SUJETO OBLIGADO </w:t>
      </w:r>
      <w:r>
        <w:rPr>
          <w:rFonts w:ascii="Palatino Linotype" w:hAnsi="Palatino Linotype" w:cs="Arial"/>
          <w:color w:val="000000" w:themeColor="text1"/>
          <w:sz w:val="24"/>
          <w:szCs w:val="24"/>
        </w:rPr>
        <w:t>atendió parcialmente la solicitud de información toda vez que va a realizar el cobro de la copia certificada</w:t>
      </w:r>
      <w:r w:rsidRPr="00CF18AC">
        <w:rPr>
          <w:rFonts w:ascii="Palatino Linotype" w:hAnsi="Palatino Linotype" w:cs="Arial"/>
          <w:color w:val="000000" w:themeColor="text1"/>
          <w:sz w:val="24"/>
          <w:szCs w:val="24"/>
        </w:rPr>
        <w:t xml:space="preserve">, situación que recae en los estipulado por el artículo 165 tercer párrafo, es plenamente fundado, constituye una afectación indebida e injustificada a su derecho de acceso a la información pública y la respuesta del </w:t>
      </w:r>
      <w:r>
        <w:rPr>
          <w:rFonts w:ascii="Palatino Linotype" w:hAnsi="Palatino Linotype" w:cs="Arial"/>
          <w:b/>
          <w:color w:val="000000" w:themeColor="text1"/>
          <w:sz w:val="24"/>
          <w:szCs w:val="24"/>
        </w:rPr>
        <w:t>SUJETO OBLIGADO</w:t>
      </w:r>
      <w:r>
        <w:rPr>
          <w:rFonts w:ascii="Palatino Linotype" w:hAnsi="Palatino Linotype" w:cs="Arial"/>
          <w:color w:val="000000" w:themeColor="text1"/>
          <w:sz w:val="24"/>
          <w:szCs w:val="24"/>
        </w:rPr>
        <w:t xml:space="preserve"> </w:t>
      </w:r>
      <w:r w:rsidRPr="00CF18AC">
        <w:rPr>
          <w:rFonts w:ascii="Palatino Linotype" w:hAnsi="Palatino Linotype" w:cs="Arial"/>
          <w:color w:val="000000" w:themeColor="text1"/>
          <w:sz w:val="24"/>
          <w:szCs w:val="24"/>
        </w:rPr>
        <w:t xml:space="preserve">constituyó una violación a su derecho de acceso a la información pública que el Estado Mexicano, a través de otra institución, en este caso, este Pleno, pretende reparar a través de </w:t>
      </w:r>
      <w:r>
        <w:rPr>
          <w:rFonts w:ascii="Palatino Linotype" w:hAnsi="Palatino Linotype" w:cs="Arial"/>
          <w:color w:val="000000" w:themeColor="text1"/>
          <w:sz w:val="24"/>
          <w:szCs w:val="24"/>
        </w:rPr>
        <w:t>la resolución que acompaño con el</w:t>
      </w:r>
      <w:r w:rsidRPr="00CF18AC">
        <w:rPr>
          <w:rFonts w:ascii="Palatino Linotype" w:hAnsi="Palatino Linotype" w:cs="Arial"/>
          <w:color w:val="000000" w:themeColor="text1"/>
          <w:sz w:val="24"/>
          <w:szCs w:val="24"/>
        </w:rPr>
        <w:t xml:space="preserve"> presente </w:t>
      </w:r>
      <w:r>
        <w:rPr>
          <w:rFonts w:ascii="Palatino Linotype" w:hAnsi="Palatino Linotype" w:cs="Arial"/>
          <w:color w:val="000000" w:themeColor="text1"/>
          <w:sz w:val="24"/>
          <w:szCs w:val="24"/>
        </w:rPr>
        <w:t>voto particular</w:t>
      </w:r>
      <w:r w:rsidRPr="00CF18AC">
        <w:rPr>
          <w:rFonts w:ascii="Palatino Linotype" w:hAnsi="Palatino Linotype" w:cs="Arial"/>
          <w:color w:val="000000" w:themeColor="text1"/>
          <w:sz w:val="24"/>
          <w:szCs w:val="24"/>
        </w:rPr>
        <w:t xml:space="preserve">, mediante la cual se ordena la entrega de la información en </w:t>
      </w:r>
      <w:r>
        <w:rPr>
          <w:rFonts w:ascii="Palatino Linotype" w:hAnsi="Palatino Linotype" w:cs="Arial"/>
          <w:color w:val="000000" w:themeColor="text1"/>
          <w:sz w:val="24"/>
          <w:szCs w:val="24"/>
        </w:rPr>
        <w:t xml:space="preserve">vía SAIMEX y en copia certificada con el previo pago de los derechos. </w:t>
      </w:r>
    </w:p>
    <w:p w:rsidR="005F7BB4" w:rsidRPr="00CF18AC" w:rsidRDefault="005F7BB4" w:rsidP="005F7BB4">
      <w:pPr>
        <w:spacing w:after="0" w:line="360" w:lineRule="auto"/>
        <w:contextualSpacing/>
        <w:jc w:val="both"/>
        <w:rPr>
          <w:rFonts w:ascii="Palatino Linotype" w:hAnsi="Palatino Linotype" w:cs="Arial"/>
          <w:color w:val="000000" w:themeColor="text1"/>
          <w:sz w:val="24"/>
          <w:szCs w:val="24"/>
        </w:rPr>
      </w:pPr>
    </w:p>
    <w:p w:rsidR="005F7BB4" w:rsidRPr="00CF18AC" w:rsidRDefault="005F7BB4" w:rsidP="00E919D3">
      <w:pPr>
        <w:keepNext/>
        <w:keepLines/>
        <w:numPr>
          <w:ilvl w:val="0"/>
          <w:numId w:val="24"/>
        </w:numPr>
        <w:spacing w:before="40" w:after="0" w:line="360" w:lineRule="auto"/>
        <w:outlineLvl w:val="1"/>
        <w:rPr>
          <w:rFonts w:ascii="Palatino Linotype" w:eastAsiaTheme="majorEastAsia" w:hAnsi="Palatino Linotype" w:cs="Arial"/>
          <w:b/>
          <w:iCs/>
          <w:color w:val="000000" w:themeColor="text1"/>
          <w:sz w:val="24"/>
          <w:szCs w:val="24"/>
        </w:rPr>
      </w:pPr>
      <w:bookmarkStart w:id="10" w:name="_Toc508378631"/>
      <w:bookmarkStart w:id="11" w:name="_Toc15298366"/>
      <w:r w:rsidRPr="00CF18AC">
        <w:rPr>
          <w:rFonts w:ascii="Palatino Linotype" w:eastAsiaTheme="majorEastAsia" w:hAnsi="Palatino Linotype" w:cs="Arial"/>
          <w:b/>
          <w:iCs/>
          <w:color w:val="000000" w:themeColor="text1"/>
          <w:sz w:val="24"/>
          <w:szCs w:val="24"/>
        </w:rPr>
        <w:lastRenderedPageBreak/>
        <w:t>Consecuencias de la violación al derecho humano.</w:t>
      </w:r>
      <w:bookmarkEnd w:id="10"/>
      <w:bookmarkEnd w:id="11"/>
      <w:r w:rsidRPr="00CF18AC">
        <w:rPr>
          <w:rFonts w:ascii="Palatino Linotype" w:eastAsiaTheme="majorEastAsia" w:hAnsi="Palatino Linotype" w:cs="Arial"/>
          <w:b/>
          <w:iCs/>
          <w:color w:val="000000" w:themeColor="text1"/>
          <w:sz w:val="24"/>
          <w:szCs w:val="24"/>
        </w:rPr>
        <w:t xml:space="preserve"> </w:t>
      </w:r>
    </w:p>
    <w:p w:rsidR="005F7BB4" w:rsidRDefault="005F7BB4" w:rsidP="004417A0">
      <w:pPr>
        <w:pStyle w:val="Prrafodelista"/>
        <w:numPr>
          <w:ilvl w:val="0"/>
          <w:numId w:val="11"/>
        </w:numPr>
        <w:spacing w:before="240" w:after="240" w:line="360" w:lineRule="auto"/>
        <w:ind w:left="0"/>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El tercer párrafo del artículo primero de nuestra la Constitución Política de los Estados Unidos Mexicanos establece la obligación del Estado Mexicano de </w:t>
      </w:r>
      <w:r w:rsidRPr="00CF18AC">
        <w:rPr>
          <w:rFonts w:ascii="Palatino Linotype" w:hAnsi="Palatino Linotype" w:cs="Arial"/>
          <w:i/>
          <w:color w:val="000000" w:themeColor="text1"/>
          <w:sz w:val="24"/>
          <w:szCs w:val="24"/>
        </w:rPr>
        <w:t xml:space="preserve">investigar, sancionar y reparar las violaciones a los derechos humanos, en los términos que establezca la ley. </w:t>
      </w:r>
      <w:r w:rsidRPr="00CF18AC">
        <w:rPr>
          <w:rFonts w:ascii="Palatino Linotype" w:hAnsi="Palatino Linotype" w:cs="Arial"/>
          <w:color w:val="000000" w:themeColor="text1"/>
          <w:sz w:val="24"/>
          <w:szCs w:val="24"/>
        </w:rPr>
        <w:t xml:space="preserve">En este caso es plenamente evidente que </w:t>
      </w:r>
      <w:r>
        <w:rPr>
          <w:rFonts w:ascii="Palatino Linotype" w:hAnsi="Palatino Linotype" w:cs="Arial"/>
          <w:color w:val="000000" w:themeColor="text1"/>
          <w:sz w:val="24"/>
          <w:szCs w:val="24"/>
        </w:rPr>
        <w:t>el particular</w:t>
      </w:r>
      <w:r w:rsidRPr="00CF18AC">
        <w:rPr>
          <w:rFonts w:ascii="Palatino Linotype" w:hAnsi="Palatino Linotype" w:cs="Arial"/>
          <w:b/>
          <w:color w:val="000000" w:themeColor="text1"/>
          <w:sz w:val="24"/>
          <w:szCs w:val="24"/>
        </w:rPr>
        <w:t xml:space="preserve"> </w:t>
      </w:r>
      <w:r>
        <w:rPr>
          <w:rFonts w:ascii="Palatino Linotype" w:hAnsi="Palatino Linotype" w:cs="Arial"/>
          <w:color w:val="000000" w:themeColor="text1"/>
          <w:sz w:val="24"/>
          <w:szCs w:val="24"/>
        </w:rPr>
        <w:t xml:space="preserve">pretendió a acceder a cierta información en copia certificada </w:t>
      </w:r>
      <w:r w:rsidRPr="00CF18AC">
        <w:rPr>
          <w:rFonts w:ascii="Palatino Linotype" w:hAnsi="Palatino Linotype" w:cs="Arial"/>
          <w:color w:val="000000" w:themeColor="text1"/>
          <w:sz w:val="24"/>
          <w:szCs w:val="24"/>
        </w:rPr>
        <w:t xml:space="preserve">y que la autoridad </w:t>
      </w:r>
      <w:r>
        <w:rPr>
          <w:rFonts w:ascii="Palatino Linotype" w:hAnsi="Palatino Linotype" w:cs="Arial"/>
          <w:color w:val="000000" w:themeColor="text1"/>
          <w:sz w:val="24"/>
          <w:szCs w:val="24"/>
        </w:rPr>
        <w:t>fue omisa en entregar la información señalando como argumento que la información forma parte del acta de entrega-recepción</w:t>
      </w:r>
      <w:r w:rsidRPr="00CF18AC">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manifestación que</w:t>
      </w:r>
      <w:r w:rsidRPr="00CF18AC">
        <w:rPr>
          <w:rFonts w:ascii="Palatino Linotype" w:hAnsi="Palatino Linotype" w:cs="Arial"/>
          <w:color w:val="000000" w:themeColor="text1"/>
          <w:sz w:val="24"/>
          <w:szCs w:val="24"/>
        </w:rPr>
        <w:t xml:space="preserve"> generó un agravió en la persona que acudió a la garantía secundaria para la </w:t>
      </w:r>
      <w:r w:rsidRPr="00CF18AC">
        <w:rPr>
          <w:rFonts w:ascii="Palatino Linotype" w:hAnsi="Palatino Linotype" w:cs="Arial"/>
          <w:i/>
          <w:color w:val="000000" w:themeColor="text1"/>
          <w:sz w:val="24"/>
          <w:szCs w:val="24"/>
        </w:rPr>
        <w:t>restitutio in integrum</w:t>
      </w:r>
      <w:r w:rsidRPr="00CF18AC">
        <w:rPr>
          <w:rFonts w:ascii="Palatino Linotype" w:hAnsi="Palatino Linotype" w:cs="Arial"/>
          <w:color w:val="000000" w:themeColor="text1"/>
          <w:sz w:val="24"/>
          <w:szCs w:val="24"/>
        </w:rPr>
        <w:t xml:space="preserve"> del derecho en cuestión. Lo que este Órgano Garante pretende hacer ordenando la entrega de la i</w:t>
      </w:r>
      <w:r>
        <w:rPr>
          <w:rFonts w:ascii="Palatino Linotype" w:hAnsi="Palatino Linotype" w:cs="Arial"/>
          <w:color w:val="000000" w:themeColor="text1"/>
          <w:sz w:val="24"/>
          <w:szCs w:val="24"/>
        </w:rPr>
        <w:t>nformación.</w:t>
      </w:r>
    </w:p>
    <w:p w:rsidR="004417A0" w:rsidRDefault="004417A0" w:rsidP="004417A0">
      <w:pPr>
        <w:pStyle w:val="Prrafodelista"/>
        <w:spacing w:before="240" w:after="240" w:line="360" w:lineRule="auto"/>
        <w:ind w:left="0"/>
        <w:jc w:val="both"/>
        <w:rPr>
          <w:rFonts w:ascii="Palatino Linotype" w:hAnsi="Palatino Linotype" w:cs="Arial"/>
          <w:color w:val="000000" w:themeColor="text1"/>
          <w:sz w:val="24"/>
          <w:szCs w:val="24"/>
        </w:rPr>
      </w:pPr>
    </w:p>
    <w:p w:rsidR="005F7BB4" w:rsidRDefault="005F7BB4" w:rsidP="004417A0">
      <w:pPr>
        <w:pStyle w:val="Prrafodelista"/>
        <w:numPr>
          <w:ilvl w:val="0"/>
          <w:numId w:val="11"/>
        </w:numPr>
        <w:spacing w:before="240" w:after="240" w:line="360" w:lineRule="auto"/>
        <w:ind w:left="0"/>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Pero debemos decir que el presente voto</w:t>
      </w:r>
      <w:r w:rsidRPr="00CF18AC">
        <w:rPr>
          <w:rFonts w:ascii="Palatino Linotype" w:hAnsi="Palatino Linotype" w:cs="Arial"/>
          <w:color w:val="000000" w:themeColor="text1"/>
          <w:sz w:val="24"/>
          <w:szCs w:val="24"/>
        </w:rPr>
        <w:t xml:space="preserve"> particular consiste en los efectos de esa violación al derecho humano. Si bien es cierto</w:t>
      </w:r>
      <w:r>
        <w:rPr>
          <w:rFonts w:ascii="Palatino Linotype" w:hAnsi="Palatino Linotype" w:cs="Arial"/>
          <w:color w:val="000000" w:themeColor="text1"/>
          <w:sz w:val="24"/>
          <w:szCs w:val="24"/>
        </w:rPr>
        <w:t>,</w:t>
      </w:r>
      <w:r w:rsidRPr="00CF18AC">
        <w:rPr>
          <w:rFonts w:ascii="Palatino Linotype" w:hAnsi="Palatino Linotype" w:cs="Arial"/>
          <w:color w:val="000000" w:themeColor="text1"/>
          <w:sz w:val="24"/>
          <w:szCs w:val="24"/>
        </w:rPr>
        <w:t xml:space="preserve"> que los derechos no son efectivos sin las garantías que permitan </w:t>
      </w:r>
      <w:r>
        <w:rPr>
          <w:rFonts w:ascii="Palatino Linotype" w:hAnsi="Palatino Linotype" w:cs="Arial"/>
          <w:color w:val="000000" w:themeColor="text1"/>
          <w:sz w:val="24"/>
          <w:szCs w:val="24"/>
        </w:rPr>
        <w:t xml:space="preserve">su pleno cumplimiento, también estamos </w:t>
      </w:r>
      <w:r w:rsidRPr="00CF18AC">
        <w:rPr>
          <w:rFonts w:ascii="Palatino Linotype" w:hAnsi="Palatino Linotype" w:cs="Arial"/>
          <w:color w:val="000000" w:themeColor="text1"/>
          <w:sz w:val="24"/>
          <w:szCs w:val="24"/>
        </w:rPr>
        <w:t>convencido</w:t>
      </w:r>
      <w:r>
        <w:rPr>
          <w:rFonts w:ascii="Palatino Linotype" w:hAnsi="Palatino Linotype" w:cs="Arial"/>
          <w:color w:val="000000" w:themeColor="text1"/>
          <w:sz w:val="24"/>
          <w:szCs w:val="24"/>
        </w:rPr>
        <w:t>s</w:t>
      </w:r>
      <w:r w:rsidRPr="00CF18AC">
        <w:rPr>
          <w:rFonts w:ascii="Palatino Linotype" w:hAnsi="Palatino Linotype" w:cs="Arial"/>
          <w:color w:val="000000" w:themeColor="text1"/>
          <w:sz w:val="24"/>
          <w:szCs w:val="24"/>
        </w:rPr>
        <w:t xml:space="preserve"> de que las garantías son limitadas si las afectaciones o violaciones a los derechos humanos no se acompañan de las medidas adecuadas para asegurar lo que la Corte Interamericana de Derechos Humanos ampliamente ha establecido como doctrina consolidada en materia de no repetición de las conductas que lo violan,</w:t>
      </w:r>
      <w:r w:rsidRPr="00CF18AC">
        <w:rPr>
          <w:rFonts w:ascii="Palatino Linotype" w:hAnsi="Palatino Linotype" w:cs="Arial"/>
          <w:color w:val="000000" w:themeColor="text1"/>
          <w:sz w:val="24"/>
          <w:szCs w:val="24"/>
          <w:vertAlign w:val="superscript"/>
        </w:rPr>
        <w:footnoteReference w:id="10"/>
      </w:r>
      <w:r w:rsidRPr="00CF18AC">
        <w:rPr>
          <w:rFonts w:ascii="Palatino Linotype" w:hAnsi="Palatino Linotype" w:cs="Arial"/>
          <w:color w:val="000000" w:themeColor="text1"/>
          <w:sz w:val="24"/>
          <w:szCs w:val="24"/>
        </w:rPr>
        <w:t xml:space="preserve"> o lo que </w:t>
      </w:r>
      <w:r w:rsidRPr="00CF18AC">
        <w:rPr>
          <w:rFonts w:ascii="Palatino Linotype" w:hAnsi="Palatino Linotype" w:cs="Arial"/>
          <w:color w:val="000000" w:themeColor="text1"/>
          <w:sz w:val="24"/>
          <w:szCs w:val="24"/>
        </w:rPr>
        <w:lastRenderedPageBreak/>
        <w:t xml:space="preserve">Ferrajoli señala como la </w:t>
      </w:r>
      <w:r w:rsidRPr="00CF18AC">
        <w:rPr>
          <w:rFonts w:ascii="Palatino Linotype" w:hAnsi="Palatino Linotype" w:cs="Arial"/>
          <w:i/>
          <w:color w:val="000000" w:themeColor="text1"/>
          <w:sz w:val="24"/>
          <w:szCs w:val="24"/>
        </w:rPr>
        <w:t>sanción por los actos ilícitos</w:t>
      </w:r>
      <w:r w:rsidRPr="00CF18AC">
        <w:rPr>
          <w:rFonts w:ascii="Palatino Linotype" w:hAnsi="Palatino Linotype" w:cs="Arial"/>
          <w:color w:val="000000" w:themeColor="text1"/>
          <w:sz w:val="24"/>
          <w:szCs w:val="24"/>
        </w:rPr>
        <w:t xml:space="preserve"> según se ha citado ya. Lo cual implica que se debe revisar si el ordenamiento jurídico actual establece un procedimiento determinado que permita sancionar esta afectación particular al derecho de acceso a la información pública. </w:t>
      </w:r>
    </w:p>
    <w:p w:rsidR="004417A0" w:rsidRPr="004417A0" w:rsidRDefault="004417A0" w:rsidP="004417A0">
      <w:pPr>
        <w:pStyle w:val="Prrafodelista"/>
        <w:rPr>
          <w:rFonts w:ascii="Palatino Linotype" w:hAnsi="Palatino Linotype" w:cs="Arial"/>
          <w:color w:val="000000" w:themeColor="text1"/>
          <w:sz w:val="24"/>
          <w:szCs w:val="24"/>
        </w:rPr>
      </w:pPr>
    </w:p>
    <w:p w:rsidR="005F7BB4" w:rsidRPr="004417A0" w:rsidRDefault="005F7BB4" w:rsidP="004417A0">
      <w:pPr>
        <w:pStyle w:val="Prrafodelista"/>
        <w:numPr>
          <w:ilvl w:val="0"/>
          <w:numId w:val="11"/>
        </w:numPr>
        <w:spacing w:before="240" w:after="240" w:line="360" w:lineRule="auto"/>
        <w:ind w:left="0"/>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E</w:t>
      </w:r>
      <w:r w:rsidRPr="00CF18AC">
        <w:rPr>
          <w:rFonts w:ascii="Palatino Linotype" w:hAnsi="Palatino Linotype" w:cs="Arial"/>
          <w:color w:val="000000" w:themeColor="text1"/>
          <w:sz w:val="24"/>
          <w:szCs w:val="24"/>
        </w:rPr>
        <w:t>l legislador ordinario federal y estatal, previó esta circunstancia y por esa razón estableció dos consecuencias precisas para sancionar este tipo de violaciones o afectaciones al derecho de acceso a la información pública. La primera en la dimensión de las responsabilidades individuales de los servidores públicos, según consta en el artíc</w:t>
      </w:r>
      <w:r>
        <w:rPr>
          <w:rFonts w:ascii="Palatino Linotype" w:hAnsi="Palatino Linotype" w:cs="Arial"/>
          <w:color w:val="000000" w:themeColor="text1"/>
          <w:sz w:val="24"/>
          <w:szCs w:val="24"/>
        </w:rPr>
        <w:t xml:space="preserve">ulo 222 fracción I, II </w:t>
      </w:r>
      <w:r w:rsidRPr="00CF18AC">
        <w:rPr>
          <w:rFonts w:ascii="Palatino Linotype" w:hAnsi="Palatino Linotype" w:cs="Arial"/>
          <w:color w:val="000000" w:themeColor="text1"/>
          <w:sz w:val="24"/>
          <w:szCs w:val="24"/>
        </w:rPr>
        <w:t xml:space="preserve">de la ley estatal de transparencia multicitada, que determina como causa de responsabilidad administrativa de los servidores públicos de los sujetos obligados el </w:t>
      </w:r>
      <w:r>
        <w:rPr>
          <w:rFonts w:ascii="Palatino Linotype" w:hAnsi="Palatino Linotype" w:cs="Arial"/>
          <w:color w:val="000000" w:themeColor="text1"/>
          <w:sz w:val="24"/>
          <w:szCs w:val="24"/>
        </w:rPr>
        <w:t xml:space="preserve">declara con dolo o negligencia </w:t>
      </w:r>
      <w:r w:rsidRPr="00CF18AC">
        <w:rPr>
          <w:rFonts w:ascii="Palatino Linotype" w:hAnsi="Palatino Linotype" w:cs="Arial"/>
          <w:color w:val="000000" w:themeColor="text1"/>
          <w:sz w:val="24"/>
          <w:szCs w:val="24"/>
        </w:rPr>
        <w:t xml:space="preserve">la inexistencia de la información, </w:t>
      </w:r>
      <w:r w:rsidRPr="00CF18AC">
        <w:rPr>
          <w:rFonts w:ascii="Palatino Linotype" w:hAnsi="Palatino Linotype" w:cs="Arial"/>
          <w:b/>
          <w:color w:val="000000" w:themeColor="text1"/>
          <w:sz w:val="24"/>
          <w:szCs w:val="24"/>
        </w:rPr>
        <w:t xml:space="preserve">sin la debida motivación y fundamentación. </w:t>
      </w:r>
    </w:p>
    <w:p w:rsidR="004417A0" w:rsidRPr="004417A0" w:rsidRDefault="004417A0" w:rsidP="004417A0">
      <w:pPr>
        <w:pStyle w:val="Prrafodelista"/>
        <w:rPr>
          <w:rFonts w:ascii="Palatino Linotype" w:hAnsi="Palatino Linotype" w:cs="Arial"/>
          <w:color w:val="000000" w:themeColor="text1"/>
          <w:sz w:val="24"/>
          <w:szCs w:val="24"/>
        </w:rPr>
      </w:pPr>
    </w:p>
    <w:p w:rsidR="005F7BB4" w:rsidRDefault="005F7BB4" w:rsidP="004417A0">
      <w:pPr>
        <w:pStyle w:val="Prrafodelista"/>
        <w:numPr>
          <w:ilvl w:val="0"/>
          <w:numId w:val="11"/>
        </w:numPr>
        <w:spacing w:before="240" w:after="240" w:line="360" w:lineRule="auto"/>
        <w:ind w:left="0"/>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En este caso es evidente que el pago que se pretende aplicar para la expedición de la información requerida </w:t>
      </w:r>
      <w:r>
        <w:rPr>
          <w:rFonts w:ascii="Palatino Linotype" w:hAnsi="Palatino Linotype" w:cs="Arial"/>
          <w:color w:val="000000" w:themeColor="text1"/>
          <w:sz w:val="24"/>
          <w:szCs w:val="24"/>
        </w:rPr>
        <w:t xml:space="preserve">en la modalidad elegida </w:t>
      </w:r>
      <w:r w:rsidRPr="00CF18AC">
        <w:rPr>
          <w:rFonts w:ascii="Palatino Linotype" w:hAnsi="Palatino Linotype" w:cs="Arial"/>
          <w:color w:val="000000" w:themeColor="text1"/>
          <w:sz w:val="24"/>
          <w:szCs w:val="24"/>
        </w:rPr>
        <w:t xml:space="preserve">por </w:t>
      </w:r>
      <w:r>
        <w:rPr>
          <w:rFonts w:ascii="Palatino Linotype" w:hAnsi="Palatino Linotype" w:cs="Arial"/>
          <w:color w:val="000000" w:themeColor="text1"/>
          <w:sz w:val="24"/>
          <w:szCs w:val="24"/>
        </w:rPr>
        <w:t xml:space="preserve">el </w:t>
      </w:r>
      <w:r>
        <w:rPr>
          <w:rFonts w:ascii="Palatino Linotype" w:hAnsi="Palatino Linotype" w:cs="Arial"/>
          <w:b/>
          <w:color w:val="000000" w:themeColor="text1"/>
          <w:sz w:val="24"/>
          <w:szCs w:val="24"/>
        </w:rPr>
        <w:t>RECURRENTE</w:t>
      </w:r>
      <w:r w:rsidRPr="00CF18AC">
        <w:rPr>
          <w:rFonts w:ascii="Palatino Linotype" w:hAnsi="Palatino Linotype" w:cs="Arial"/>
          <w:b/>
          <w:color w:val="000000" w:themeColor="text1"/>
          <w:sz w:val="24"/>
          <w:szCs w:val="24"/>
        </w:rPr>
        <w:t xml:space="preserve">, no resulta aplicable </w:t>
      </w:r>
      <w:r w:rsidRPr="004F0E90">
        <w:rPr>
          <w:rFonts w:ascii="Palatino Linotype" w:hAnsi="Palatino Linotype" w:cs="Arial"/>
          <w:color w:val="000000" w:themeColor="text1"/>
          <w:sz w:val="24"/>
          <w:szCs w:val="24"/>
        </w:rPr>
        <w:t>para ello es dable señalar el contenido de la Ley de Transparencia y Acceso a la Información Pública del Estado de México y Municipios  en sus artículos 165 tercer párrafo, el cual establece lo siguiente:</w:t>
      </w:r>
    </w:p>
    <w:p w:rsidR="005F7BB4" w:rsidRDefault="005F7BB4" w:rsidP="005F7BB4">
      <w:pPr>
        <w:pStyle w:val="Prrafodelista"/>
        <w:spacing w:line="360" w:lineRule="auto"/>
        <w:rPr>
          <w:rFonts w:ascii="Palatino Linotype" w:hAnsi="Palatino Linotype" w:cs="Arial"/>
          <w:b/>
          <w:color w:val="000000" w:themeColor="text1"/>
        </w:rPr>
      </w:pPr>
    </w:p>
    <w:p w:rsidR="004417A0" w:rsidRDefault="004417A0" w:rsidP="005F7BB4">
      <w:pPr>
        <w:pStyle w:val="Prrafodelista"/>
        <w:spacing w:line="360" w:lineRule="auto"/>
        <w:rPr>
          <w:rFonts w:ascii="Palatino Linotype" w:hAnsi="Palatino Linotype" w:cs="Arial"/>
          <w:b/>
          <w:color w:val="000000" w:themeColor="text1"/>
        </w:rPr>
      </w:pPr>
    </w:p>
    <w:p w:rsidR="004417A0" w:rsidRDefault="004417A0" w:rsidP="005F7BB4">
      <w:pPr>
        <w:pStyle w:val="Prrafodelista"/>
        <w:spacing w:line="360" w:lineRule="auto"/>
        <w:rPr>
          <w:rFonts w:ascii="Palatino Linotype" w:hAnsi="Palatino Linotype" w:cs="Arial"/>
          <w:b/>
          <w:color w:val="000000" w:themeColor="text1"/>
        </w:rPr>
      </w:pPr>
    </w:p>
    <w:p w:rsidR="004417A0" w:rsidRDefault="004417A0" w:rsidP="005F7BB4">
      <w:pPr>
        <w:pStyle w:val="Prrafodelista"/>
        <w:spacing w:line="360" w:lineRule="auto"/>
        <w:rPr>
          <w:rFonts w:ascii="Palatino Linotype" w:hAnsi="Palatino Linotype" w:cs="Arial"/>
          <w:b/>
          <w:color w:val="000000" w:themeColor="text1"/>
        </w:rPr>
      </w:pPr>
    </w:p>
    <w:p w:rsidR="005F7BB4" w:rsidRPr="0076538D" w:rsidRDefault="005F7BB4" w:rsidP="005F7BB4">
      <w:pPr>
        <w:spacing w:after="0" w:line="360" w:lineRule="auto"/>
        <w:ind w:left="567" w:right="616"/>
        <w:contextualSpacing/>
        <w:jc w:val="both"/>
        <w:rPr>
          <w:rFonts w:ascii="Palatino Linotype" w:hAnsi="Palatino Linotype" w:cs="Bookman Old Style,Bold"/>
          <w:b/>
          <w:bCs/>
          <w:i/>
          <w:szCs w:val="20"/>
        </w:rPr>
      </w:pPr>
      <w:r w:rsidRPr="0076538D">
        <w:rPr>
          <w:rFonts w:ascii="Palatino Linotype" w:hAnsi="Palatino Linotype" w:cs="Bookman Old Style,Bold"/>
          <w:b/>
          <w:bCs/>
          <w:i/>
          <w:szCs w:val="20"/>
        </w:rPr>
        <w:lastRenderedPageBreak/>
        <w:t>Artículo 165…</w:t>
      </w:r>
    </w:p>
    <w:p w:rsidR="005F7BB4" w:rsidRPr="0076538D" w:rsidRDefault="005F7BB4" w:rsidP="005F7BB4">
      <w:pPr>
        <w:spacing w:after="0" w:line="360" w:lineRule="auto"/>
        <w:ind w:left="567" w:right="616"/>
        <w:contextualSpacing/>
        <w:jc w:val="both"/>
        <w:rPr>
          <w:rFonts w:ascii="Palatino Linotype" w:hAnsi="Palatino Linotype" w:cs="Bookman Old Style,Bold"/>
          <w:b/>
          <w:bCs/>
          <w:i/>
          <w:szCs w:val="20"/>
        </w:rPr>
      </w:pPr>
      <w:r w:rsidRPr="0076538D">
        <w:rPr>
          <w:rFonts w:ascii="Palatino Linotype" w:hAnsi="Palatino Linotype" w:cs="Bookman Old Style,Bold"/>
          <w:b/>
          <w:bCs/>
          <w:i/>
          <w:szCs w:val="20"/>
        </w:rPr>
        <w:t>…</w:t>
      </w:r>
    </w:p>
    <w:p w:rsidR="005F7BB4" w:rsidRPr="0076538D" w:rsidRDefault="005F7BB4" w:rsidP="005F7BB4">
      <w:pPr>
        <w:autoSpaceDE w:val="0"/>
        <w:autoSpaceDN w:val="0"/>
        <w:adjustRightInd w:val="0"/>
        <w:spacing w:after="0" w:line="360" w:lineRule="auto"/>
        <w:ind w:left="567" w:right="616"/>
        <w:jc w:val="both"/>
        <w:rPr>
          <w:rFonts w:ascii="Palatino Linotype" w:hAnsi="Palatino Linotype" w:cs="Bookman Old Style"/>
          <w:i/>
          <w:szCs w:val="20"/>
        </w:rPr>
      </w:pPr>
      <w:r w:rsidRPr="0076538D">
        <w:rPr>
          <w:rFonts w:ascii="Palatino Linotype" w:hAnsi="Palatino Linotype" w:cs="Bookman Old Style"/>
          <w:i/>
          <w:szCs w:val="20"/>
        </w:rPr>
        <w:t>Ante la falta de respuesta a una solicitud en el plazo previsto y en caso de que proceda el acceso, los costos de reproducción y envío correrán a cargo del sujeto obligado.</w:t>
      </w:r>
      <w:r w:rsidRPr="0076538D">
        <w:rPr>
          <w:rFonts w:ascii="Palatino Linotype" w:hAnsi="Palatino Linotype" w:cs="Arial"/>
          <w:b/>
          <w:i/>
          <w:color w:val="000000" w:themeColor="text1"/>
          <w:sz w:val="28"/>
          <w:szCs w:val="24"/>
        </w:rPr>
        <w:t xml:space="preserve"> </w:t>
      </w:r>
    </w:p>
    <w:p w:rsidR="005F7BB4" w:rsidRDefault="005F7BB4" w:rsidP="005F7BB4">
      <w:pPr>
        <w:pStyle w:val="Prrafodelista"/>
        <w:spacing w:line="360" w:lineRule="auto"/>
        <w:rPr>
          <w:rFonts w:ascii="Palatino Linotype" w:hAnsi="Palatino Linotype" w:cs="Arial"/>
          <w:color w:val="000000" w:themeColor="text1"/>
        </w:rPr>
      </w:pPr>
    </w:p>
    <w:p w:rsidR="005F7BB4" w:rsidRDefault="005F7BB4" w:rsidP="004417A0">
      <w:pPr>
        <w:pStyle w:val="Prrafodelista"/>
        <w:numPr>
          <w:ilvl w:val="0"/>
          <w:numId w:val="11"/>
        </w:numPr>
        <w:spacing w:before="240" w:after="240" w:line="360" w:lineRule="auto"/>
        <w:ind w:left="0"/>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El precepto legal en comento resulta aplicable al caso que nos ocupa, toda vez que el Sujeto Obligado fue omiso en atender y dar seguimiento a la solicitud de información en su totalidad, sin respetar la modalidad elegida por el solicitante, afectando el derecho constitucional y convencionalmente reconocido, retrasando</w:t>
      </w:r>
      <w:r w:rsidRPr="00CF18AC">
        <w:rPr>
          <w:rFonts w:ascii="Palatino Linotype" w:hAnsi="Palatino Linotype" w:cs="Arial"/>
          <w:color w:val="000000" w:themeColor="text1"/>
          <w:sz w:val="24"/>
          <w:szCs w:val="24"/>
        </w:rPr>
        <w:t xml:space="preserve"> su acceso a la información requerida, aún en este momento, no ha podido acceder a la información que pretendía. </w:t>
      </w:r>
    </w:p>
    <w:p w:rsidR="004417A0" w:rsidRDefault="004417A0" w:rsidP="004417A0">
      <w:pPr>
        <w:pStyle w:val="Prrafodelista"/>
        <w:spacing w:before="240" w:after="240" w:line="360" w:lineRule="auto"/>
        <w:ind w:left="0"/>
        <w:jc w:val="both"/>
        <w:rPr>
          <w:rFonts w:ascii="Palatino Linotype" w:hAnsi="Palatino Linotype" w:cs="Arial"/>
          <w:color w:val="000000" w:themeColor="text1"/>
          <w:sz w:val="24"/>
          <w:szCs w:val="24"/>
        </w:rPr>
      </w:pPr>
    </w:p>
    <w:p w:rsidR="005F7BB4" w:rsidRDefault="005F7BB4" w:rsidP="004417A0">
      <w:pPr>
        <w:pStyle w:val="Prrafodelista"/>
        <w:numPr>
          <w:ilvl w:val="0"/>
          <w:numId w:val="11"/>
        </w:numPr>
        <w:spacing w:before="240" w:after="240" w:line="360" w:lineRule="auto"/>
        <w:ind w:left="0"/>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Robustece mi postura, la Ley de Transparencia estatal en el Capítulo II, artículo 234, el cual señala que </w:t>
      </w:r>
      <w:r w:rsidRPr="00D71AF7">
        <w:rPr>
          <w:rFonts w:ascii="Palatino Linotype" w:hAnsi="Palatino Linotype" w:cs="Arial"/>
          <w:i/>
          <w:color w:val="000000" w:themeColor="text1"/>
          <w:szCs w:val="24"/>
        </w:rPr>
        <w:t>“En caso que el Instituto determine que por negligencia no se hubiere atendido alguna solicitud en los términos de esta Ley, requerirá a la Unidad de Transparencia correspondiente para que proporcione la información sin costo alguno para el solicitante”</w:t>
      </w:r>
      <w:r>
        <w:rPr>
          <w:rFonts w:ascii="Palatino Linotype" w:hAnsi="Palatino Linotype" w:cs="Arial"/>
          <w:color w:val="000000" w:themeColor="text1"/>
          <w:szCs w:val="24"/>
        </w:rPr>
        <w:t xml:space="preserve"> </w:t>
      </w:r>
      <w:r w:rsidRPr="00334623">
        <w:rPr>
          <w:rFonts w:ascii="Palatino Linotype" w:hAnsi="Palatino Linotype" w:cs="Arial"/>
          <w:color w:val="000000" w:themeColor="text1"/>
          <w:sz w:val="24"/>
          <w:szCs w:val="24"/>
        </w:rPr>
        <w:t xml:space="preserve">entendiéndose así, que al haber sido omiso en atender la solicitud de información materia del presente recurso de revisión, sin causa debidamente justificada y en la modalidad elegida por el particular, se presume que el Sujeto Obligado concurre en una negligencia en cuanto al cumplimiento de sus obligaciones, por lo cual, resulta dable como medida de reparación a la afectación del derecho de la recurrente, entregar la información solicitada en la modalidad elegida por la solicitante sin costo alguno, por no haber promovido, promovido y garantizado el efectivo ejercicio del derecho al acceso a la </w:t>
      </w:r>
      <w:r w:rsidRPr="00334623">
        <w:rPr>
          <w:rFonts w:ascii="Palatino Linotype" w:hAnsi="Palatino Linotype" w:cs="Arial"/>
          <w:color w:val="000000" w:themeColor="text1"/>
          <w:sz w:val="24"/>
          <w:szCs w:val="24"/>
        </w:rPr>
        <w:lastRenderedPageBreak/>
        <w:t>información, tal y como lo establece la Constitución Policita de los Estados unidos Mexicanos.</w:t>
      </w:r>
    </w:p>
    <w:p w:rsidR="004417A0" w:rsidRPr="004417A0" w:rsidRDefault="004417A0" w:rsidP="004417A0">
      <w:pPr>
        <w:pStyle w:val="Prrafodelista"/>
        <w:rPr>
          <w:rFonts w:ascii="Palatino Linotype" w:hAnsi="Palatino Linotype" w:cs="Arial"/>
          <w:color w:val="000000" w:themeColor="text1"/>
          <w:sz w:val="24"/>
          <w:szCs w:val="24"/>
        </w:rPr>
      </w:pPr>
    </w:p>
    <w:p w:rsidR="005F7BB4" w:rsidRDefault="005F7BB4" w:rsidP="004417A0">
      <w:pPr>
        <w:pStyle w:val="Prrafodelista"/>
        <w:numPr>
          <w:ilvl w:val="0"/>
          <w:numId w:val="11"/>
        </w:numPr>
        <w:spacing w:before="240" w:after="240" w:line="360" w:lineRule="auto"/>
        <w:ind w:left="0"/>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De esta manera, al perder el Sujeto Obligado la posibilidad de percibir los derechos por la expedición </w:t>
      </w:r>
      <w:r>
        <w:rPr>
          <w:rFonts w:ascii="Palatino Linotype" w:hAnsi="Palatino Linotype" w:cs="Arial"/>
          <w:color w:val="000000" w:themeColor="text1"/>
          <w:sz w:val="24"/>
          <w:szCs w:val="24"/>
        </w:rPr>
        <w:t>de la información en copia certificada,</w:t>
      </w:r>
      <w:r w:rsidRPr="00CF18AC">
        <w:rPr>
          <w:rFonts w:ascii="Palatino Linotype" w:hAnsi="Palatino Linotype" w:cs="Arial"/>
          <w:color w:val="000000" w:themeColor="text1"/>
          <w:sz w:val="24"/>
          <w:szCs w:val="24"/>
        </w:rPr>
        <w:t xml:space="preserve"> como consecuencia de la actitud negligente de los servidores públicos correspondientes, existe una claro y efectivo incentivo para que la autoridad de control interno agote el procedimiento administrativo e individualice las responsabilidades tanto para imponer las multas que establece la ley de transparencia como también para requerir el resarcimiento al patrimonio afectado de la institución como consecuencia de las conductas individuales de los servidores públicos. En ese mismo sentido, al perder el Sujeto Obligado la posibilidad momentánea de acceder a los derechos por la expedición de la</w:t>
      </w:r>
      <w:r>
        <w:rPr>
          <w:rFonts w:ascii="Palatino Linotype" w:hAnsi="Palatino Linotype" w:cs="Arial"/>
          <w:color w:val="000000" w:themeColor="text1"/>
          <w:sz w:val="24"/>
          <w:szCs w:val="24"/>
        </w:rPr>
        <w:t xml:space="preserve"> información en la modalidad de entrega elegida por la particular puede</w:t>
      </w:r>
      <w:r w:rsidRPr="00CF18AC">
        <w:rPr>
          <w:rFonts w:ascii="Palatino Linotype" w:hAnsi="Palatino Linotype" w:cs="Arial"/>
          <w:color w:val="000000" w:themeColor="text1"/>
          <w:sz w:val="24"/>
          <w:szCs w:val="24"/>
        </w:rPr>
        <w:t xml:space="preserve"> ser un incentivo adicional para que, en el futuro, las solicitudes de acceso a la información sean atendidas bajo el más alto estándar que promueva la plena protección del derecho en cuestión. </w:t>
      </w:r>
    </w:p>
    <w:p w:rsidR="004417A0" w:rsidRPr="004417A0" w:rsidRDefault="004417A0" w:rsidP="004417A0">
      <w:pPr>
        <w:pStyle w:val="Prrafodelista"/>
        <w:rPr>
          <w:rFonts w:ascii="Palatino Linotype" w:hAnsi="Palatino Linotype" w:cs="Arial"/>
          <w:color w:val="000000" w:themeColor="text1"/>
          <w:sz w:val="24"/>
          <w:szCs w:val="24"/>
        </w:rPr>
      </w:pPr>
    </w:p>
    <w:p w:rsidR="005F7BB4" w:rsidRDefault="005F7BB4" w:rsidP="004417A0">
      <w:pPr>
        <w:pStyle w:val="Prrafodelista"/>
        <w:numPr>
          <w:ilvl w:val="0"/>
          <w:numId w:val="11"/>
        </w:numPr>
        <w:spacing w:before="240" w:after="240" w:line="360" w:lineRule="auto"/>
        <w:ind w:left="0"/>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A</w:t>
      </w:r>
      <w:r w:rsidRPr="00CF18AC">
        <w:rPr>
          <w:rFonts w:ascii="Palatino Linotype" w:hAnsi="Palatino Linotype" w:cs="Arial"/>
          <w:color w:val="000000" w:themeColor="text1"/>
          <w:sz w:val="24"/>
          <w:szCs w:val="24"/>
        </w:rPr>
        <w:t>l negarse el Pleno del Instituto a aplicar en estos términos el último artículo de la ley de transparencia y confiar en que se desahogue un procedimiento individualizado cuya culminación en términos temporales corre en una pista distinta y que supera con mucho los plazos para cumplir la presente resolución, perdemos la oportunidad de adoptar estas medidas de reparación del derecho a través de un beneficio dire</w:t>
      </w:r>
      <w:r w:rsidR="00E919D3">
        <w:rPr>
          <w:rFonts w:ascii="Palatino Linotype" w:hAnsi="Palatino Linotype" w:cs="Arial"/>
          <w:color w:val="000000" w:themeColor="text1"/>
          <w:sz w:val="24"/>
          <w:szCs w:val="24"/>
        </w:rPr>
        <w:t>cto establecido en la L</w:t>
      </w:r>
      <w:r w:rsidRPr="00CF18AC">
        <w:rPr>
          <w:rFonts w:ascii="Palatino Linotype" w:hAnsi="Palatino Linotype" w:cs="Arial"/>
          <w:color w:val="000000" w:themeColor="text1"/>
          <w:sz w:val="24"/>
          <w:szCs w:val="24"/>
        </w:rPr>
        <w:t xml:space="preserve">ey en favor de la persona; nos </w:t>
      </w:r>
      <w:r w:rsidRPr="00CF18AC">
        <w:rPr>
          <w:rFonts w:ascii="Palatino Linotype" w:hAnsi="Palatino Linotype" w:cs="Arial"/>
          <w:color w:val="000000" w:themeColor="text1"/>
          <w:sz w:val="24"/>
          <w:szCs w:val="24"/>
        </w:rPr>
        <w:lastRenderedPageBreak/>
        <w:t>alejamos del criterio jurisprudencial interamericano de las medidas para asegurar la no repetición de los actos que violan los derechos y que deberían de sancionarse como actos ilícitos, según Ferrajoli; al mismo tiempo que, de manera más grave, estamos incurriendo en una desaplicación de la norma positiva que estamos obligados a cumplir plenamente, con lo que nos colocamos en un lugar inaceptable en el diseño constitucional del país como una autoridad que, para el caso concreto, es capaz de desaplicar una porción normativa precisa, a pesar de que la Suprema Corte de Justicia de la Nación se ha pronunciado ya en un sentido distinto.</w:t>
      </w:r>
      <w:r w:rsidRPr="00CF18AC">
        <w:rPr>
          <w:rFonts w:ascii="Palatino Linotype" w:hAnsi="Palatino Linotype" w:cs="Arial"/>
          <w:color w:val="000000" w:themeColor="text1"/>
          <w:sz w:val="24"/>
          <w:szCs w:val="24"/>
          <w:vertAlign w:val="superscript"/>
        </w:rPr>
        <w:footnoteReference w:id="11"/>
      </w:r>
      <w:r w:rsidRPr="00CF18AC">
        <w:rPr>
          <w:rFonts w:ascii="Palatino Linotype" w:hAnsi="Palatino Linotype" w:cs="Arial"/>
          <w:color w:val="000000" w:themeColor="text1"/>
          <w:sz w:val="24"/>
          <w:szCs w:val="24"/>
        </w:rPr>
        <w:t xml:space="preserve"> </w:t>
      </w:r>
    </w:p>
    <w:p w:rsidR="004417A0" w:rsidRPr="004417A0" w:rsidRDefault="004417A0" w:rsidP="004417A0">
      <w:pPr>
        <w:pStyle w:val="Prrafodelista"/>
        <w:rPr>
          <w:rFonts w:ascii="Palatino Linotype" w:hAnsi="Palatino Linotype" w:cs="Arial"/>
          <w:color w:val="000000" w:themeColor="text1"/>
          <w:sz w:val="24"/>
          <w:szCs w:val="24"/>
        </w:rPr>
      </w:pPr>
    </w:p>
    <w:p w:rsidR="005F7BB4" w:rsidRDefault="005F7BB4" w:rsidP="004417A0">
      <w:pPr>
        <w:pStyle w:val="Prrafodelista"/>
        <w:numPr>
          <w:ilvl w:val="0"/>
          <w:numId w:val="11"/>
        </w:numPr>
        <w:spacing w:before="240" w:after="240" w:line="360" w:lineRule="auto"/>
        <w:ind w:left="0"/>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Por consiguiente si el particular solicitó copia certificada </w:t>
      </w:r>
      <w:r w:rsidR="00E919D3">
        <w:rPr>
          <w:rFonts w:ascii="Palatino Linotype" w:hAnsi="Palatino Linotype" w:cs="Arial"/>
          <w:color w:val="000000" w:themeColor="text1"/>
          <w:sz w:val="24"/>
          <w:szCs w:val="24"/>
        </w:rPr>
        <w:t>de los títulos y cédulas profesionales de los directores y el Presidente Municipal</w:t>
      </w:r>
      <w:r>
        <w:rPr>
          <w:rFonts w:ascii="Palatino Linotype" w:hAnsi="Palatino Linotype" w:cs="Arial"/>
          <w:color w:val="000000" w:themeColor="text1"/>
          <w:sz w:val="24"/>
          <w:szCs w:val="24"/>
        </w:rPr>
        <w:t xml:space="preserve">, el Sujeto Obligado </w:t>
      </w:r>
      <w:r w:rsidR="00E919D3">
        <w:rPr>
          <w:rFonts w:ascii="Palatino Linotype" w:hAnsi="Palatino Linotype" w:cs="Arial"/>
          <w:color w:val="000000" w:themeColor="text1"/>
          <w:sz w:val="24"/>
          <w:szCs w:val="24"/>
        </w:rPr>
        <w:t>NO</w:t>
      </w:r>
      <w:r>
        <w:rPr>
          <w:rFonts w:ascii="Palatino Linotype" w:hAnsi="Palatino Linotype" w:cs="Arial"/>
          <w:color w:val="000000" w:themeColor="text1"/>
          <w:sz w:val="24"/>
          <w:szCs w:val="24"/>
        </w:rPr>
        <w:t xml:space="preserve"> debería de informar al Recurrente el procedimiento para efectuar el pago de los derechos correspondientes para la expedición de las copias certificadas.</w:t>
      </w:r>
    </w:p>
    <w:p w:rsidR="005F7BB4" w:rsidRPr="00CF18AC" w:rsidRDefault="005F7BB4" w:rsidP="00E919D3">
      <w:pPr>
        <w:keepNext/>
        <w:keepLines/>
        <w:numPr>
          <w:ilvl w:val="0"/>
          <w:numId w:val="24"/>
        </w:numPr>
        <w:spacing w:before="40" w:after="0" w:line="360" w:lineRule="auto"/>
        <w:outlineLvl w:val="1"/>
        <w:rPr>
          <w:rFonts w:ascii="Palatino Linotype" w:eastAsiaTheme="majorEastAsia" w:hAnsi="Palatino Linotype" w:cs="Arial"/>
          <w:b/>
          <w:iCs/>
          <w:color w:val="000000" w:themeColor="text1"/>
          <w:sz w:val="24"/>
          <w:szCs w:val="24"/>
        </w:rPr>
      </w:pPr>
      <w:bookmarkStart w:id="12" w:name="_Toc15298367"/>
      <w:r>
        <w:rPr>
          <w:rFonts w:ascii="Palatino Linotype" w:eastAsiaTheme="majorEastAsia" w:hAnsi="Palatino Linotype" w:cs="Arial"/>
          <w:b/>
          <w:iCs/>
          <w:color w:val="000000" w:themeColor="text1"/>
          <w:sz w:val="24"/>
          <w:szCs w:val="24"/>
        </w:rPr>
        <w:t>Conclusión.</w:t>
      </w:r>
      <w:bookmarkEnd w:id="12"/>
    </w:p>
    <w:p w:rsidR="000C289F" w:rsidRPr="00E919D3" w:rsidRDefault="005F7BB4" w:rsidP="004417A0">
      <w:pPr>
        <w:pStyle w:val="Prrafodelista"/>
        <w:numPr>
          <w:ilvl w:val="0"/>
          <w:numId w:val="11"/>
        </w:numPr>
        <w:spacing w:before="240" w:after="240" w:line="360" w:lineRule="auto"/>
        <w:ind w:left="0"/>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Atender parcialmente las solicitudes de acceso a la información en una modalidad distinta a la requerida por el solicitante,   provoca una afectación al derecho de los particulares, en ese sentido, el deber de reparación de los Sujetos Obligados no solo debe versar en la entrega de la información en la modalidad requerida, sino también, en cubrir los gastos de reproducción y envío, y en el caso concreto, por tratarse de copias certificadas (con costo) la modalidad elegida por el particular, resulta </w:t>
      </w:r>
      <w:r>
        <w:rPr>
          <w:rFonts w:ascii="Palatino Linotype" w:hAnsi="Palatino Linotype" w:cs="Arial"/>
          <w:color w:val="000000" w:themeColor="text1"/>
          <w:sz w:val="24"/>
          <w:szCs w:val="24"/>
        </w:rPr>
        <w:lastRenderedPageBreak/>
        <w:t xml:space="preserve">suficiente ordenar la entrega de información vía SAIMEX y solo en copia certificada </w:t>
      </w:r>
      <w:r w:rsidR="00E919D3">
        <w:rPr>
          <w:rFonts w:ascii="Palatino Linotype" w:hAnsi="Palatino Linotype" w:cs="Arial"/>
          <w:color w:val="000000" w:themeColor="text1"/>
          <w:sz w:val="24"/>
          <w:szCs w:val="24"/>
        </w:rPr>
        <w:t>la documentación</w:t>
      </w:r>
      <w:r>
        <w:rPr>
          <w:rFonts w:ascii="Palatino Linotype" w:hAnsi="Palatino Linotype" w:cs="Arial"/>
          <w:color w:val="000000" w:themeColor="text1"/>
          <w:sz w:val="24"/>
          <w:szCs w:val="24"/>
        </w:rPr>
        <w:t xml:space="preserve"> referida  tal y como lo establece la Ley en materia, esto, a razón de disminuir el alto índice de omisión por parte de las autoridades a atender solicitudes de información e incentivar a su vez, que los Sujetos Obligados cumplan con sus obligaciones que establece la Ley de Transparencia y Acceso a la información Pública de</w:t>
      </w:r>
      <w:r w:rsidR="00E919D3">
        <w:rPr>
          <w:rFonts w:ascii="Palatino Linotype" w:hAnsi="Palatino Linotype" w:cs="Arial"/>
          <w:color w:val="000000" w:themeColor="text1"/>
          <w:sz w:val="24"/>
          <w:szCs w:val="24"/>
        </w:rPr>
        <w:t xml:space="preserve">l Estado de México y Municipios, </w:t>
      </w:r>
      <w:r w:rsidR="000C289F" w:rsidRPr="00E919D3">
        <w:rPr>
          <w:rFonts w:ascii="Palatino Linotype" w:hAnsi="Palatino Linotype" w:cs="Arial"/>
          <w:sz w:val="24"/>
          <w:szCs w:val="24"/>
        </w:rPr>
        <w:t>ya que actuar como se propone en la resolución resulta una carga desproporcionada que limita su derecho, afecta el ejercicio de control popular de los actos de gobierno, debilita el debate público informado que, a la larga, sólo puede contribuir al fortalecimiento de la sociedad democrática.</w:t>
      </w:r>
    </w:p>
    <w:p w:rsidR="000C289F" w:rsidRPr="008A4DE7" w:rsidRDefault="000C289F" w:rsidP="000C289F">
      <w:pPr>
        <w:spacing w:line="360" w:lineRule="auto"/>
        <w:ind w:left="851" w:right="616"/>
        <w:jc w:val="both"/>
        <w:rPr>
          <w:rFonts w:ascii="Palatino Linotype" w:hAnsi="Palatino Linotype" w:cs="Arial"/>
          <w:i/>
          <w:color w:val="000000" w:themeColor="text1"/>
          <w:sz w:val="24"/>
          <w:szCs w:val="24"/>
        </w:rPr>
      </w:pPr>
    </w:p>
    <w:p w:rsidR="000C289F" w:rsidRPr="000834DF" w:rsidRDefault="000C289F" w:rsidP="004417A0">
      <w:pPr>
        <w:pStyle w:val="Prrafodelista"/>
        <w:spacing w:before="240" w:after="240" w:line="360" w:lineRule="auto"/>
        <w:ind w:left="0"/>
        <w:jc w:val="both"/>
        <w:rPr>
          <w:rFonts w:ascii="Palatino Linotype" w:hAnsi="Palatino Linotype" w:cs="Arial"/>
          <w:color w:val="000000" w:themeColor="text1"/>
          <w:sz w:val="24"/>
          <w:szCs w:val="24"/>
        </w:rPr>
      </w:pPr>
    </w:p>
    <w:p w:rsidR="000C289F" w:rsidRPr="00F51F8F" w:rsidRDefault="000C289F" w:rsidP="000C289F">
      <w:pPr>
        <w:spacing w:line="360" w:lineRule="auto"/>
        <w:jc w:val="center"/>
        <w:rPr>
          <w:rFonts w:ascii="Palatino Linotype" w:eastAsia="Calibri" w:hAnsi="Palatino Linotype" w:cs="Arial"/>
          <w:b/>
          <w:color w:val="000000" w:themeColor="text1"/>
          <w:sz w:val="24"/>
          <w:szCs w:val="24"/>
        </w:rPr>
      </w:pPr>
      <w:r w:rsidRPr="00F51F8F">
        <w:rPr>
          <w:rFonts w:ascii="Palatino Linotype" w:eastAsia="Calibri" w:hAnsi="Palatino Linotype" w:cs="Arial"/>
          <w:b/>
          <w:color w:val="000000" w:themeColor="text1"/>
          <w:sz w:val="24"/>
          <w:szCs w:val="24"/>
        </w:rPr>
        <w:t>JOSÉ GUADALUPE LUNA HERNÁNDEZ</w:t>
      </w:r>
    </w:p>
    <w:p w:rsidR="000C289F" w:rsidRPr="00F51F8F" w:rsidRDefault="000C289F" w:rsidP="000C289F">
      <w:pPr>
        <w:spacing w:line="360" w:lineRule="auto"/>
        <w:jc w:val="center"/>
        <w:rPr>
          <w:rFonts w:ascii="Palatino Linotype" w:eastAsia="Calibri" w:hAnsi="Palatino Linotype" w:cs="Arial"/>
          <w:b/>
          <w:color w:val="000000" w:themeColor="text1"/>
          <w:sz w:val="24"/>
          <w:szCs w:val="24"/>
        </w:rPr>
      </w:pPr>
      <w:r w:rsidRPr="00F51F8F">
        <w:rPr>
          <w:rFonts w:ascii="Palatino Linotype" w:eastAsia="Calibri" w:hAnsi="Palatino Linotype" w:cs="Arial"/>
          <w:b/>
          <w:color w:val="000000" w:themeColor="text1"/>
          <w:sz w:val="24"/>
          <w:szCs w:val="24"/>
        </w:rPr>
        <w:t>COMISIONADO</w:t>
      </w:r>
    </w:p>
    <w:p w:rsidR="000C289F" w:rsidRDefault="000C289F" w:rsidP="00F51F8F">
      <w:pPr>
        <w:pStyle w:val="Prrafodelista"/>
        <w:spacing w:before="240" w:after="240" w:line="360" w:lineRule="auto"/>
        <w:ind w:left="0"/>
        <w:jc w:val="both"/>
        <w:rPr>
          <w:rFonts w:ascii="Palatino Linotype" w:hAnsi="Palatino Linotype"/>
        </w:rPr>
      </w:pPr>
    </w:p>
    <w:p w:rsidR="00B72E69" w:rsidRPr="000834DF" w:rsidRDefault="00B72E69" w:rsidP="00F51F8F">
      <w:pPr>
        <w:pStyle w:val="Prrafodelista"/>
        <w:spacing w:before="240" w:after="240" w:line="360" w:lineRule="auto"/>
        <w:ind w:left="0"/>
        <w:jc w:val="both"/>
        <w:rPr>
          <w:rFonts w:ascii="Palatino Linotype" w:hAnsi="Palatino Linotype"/>
        </w:rPr>
      </w:pPr>
    </w:p>
    <w:p w:rsidR="000C289F" w:rsidRDefault="000C289F" w:rsidP="000C289F">
      <w:pPr>
        <w:rPr>
          <w:rFonts w:ascii="Palatino Linotype" w:hAnsi="Palatino Linotype"/>
        </w:rPr>
      </w:pPr>
    </w:p>
    <w:p w:rsidR="00625340" w:rsidRPr="000D4F51" w:rsidRDefault="000D4F51" w:rsidP="000C289F">
      <w:pPr>
        <w:pStyle w:val="Prrafodelista"/>
        <w:spacing w:after="0" w:line="360" w:lineRule="auto"/>
        <w:ind w:left="0"/>
        <w:jc w:val="both"/>
        <w:rPr>
          <w:rFonts w:ascii="Palatino Linotype" w:eastAsia="Calibri" w:hAnsi="Palatino Linotype" w:cs="Arial"/>
          <w:sz w:val="24"/>
          <w:szCs w:val="24"/>
        </w:rPr>
      </w:pPr>
      <w:r>
        <w:rPr>
          <w:rFonts w:ascii="Palatino Linotype" w:eastAsia="Calibri" w:hAnsi="Palatino Linotype" w:cs="Arial"/>
          <w:sz w:val="24"/>
          <w:szCs w:val="24"/>
        </w:rPr>
        <w:t>SAPV/SEV</w:t>
      </w:r>
    </w:p>
    <w:sectPr w:rsidR="00625340" w:rsidRPr="000D4F51" w:rsidSect="00267F73">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A6E" w:rsidRDefault="00FA1A6E" w:rsidP="00DC559A">
      <w:pPr>
        <w:spacing w:after="0" w:line="240" w:lineRule="auto"/>
      </w:pPr>
      <w:r>
        <w:separator/>
      </w:r>
    </w:p>
  </w:endnote>
  <w:endnote w:type="continuationSeparator" w:id="0">
    <w:p w:rsidR="00FA1A6E" w:rsidRDefault="00FA1A6E"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87289" w:rsidRDefault="00B8728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64909">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64909">
              <w:rPr>
                <w:b/>
                <w:bCs/>
                <w:noProof/>
              </w:rPr>
              <w:t>16</w:t>
            </w:r>
            <w:r>
              <w:rPr>
                <w:b/>
                <w:bCs/>
                <w:sz w:val="24"/>
                <w:szCs w:val="24"/>
              </w:rPr>
              <w:fldChar w:fldCharType="end"/>
            </w:r>
          </w:p>
        </w:sdtContent>
      </w:sdt>
    </w:sdtContent>
  </w:sdt>
  <w:p w:rsidR="00951E8B" w:rsidRDefault="00FA1A6E" w:rsidP="00B87289">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A6E" w:rsidRDefault="00FA1A6E" w:rsidP="00DC559A">
      <w:pPr>
        <w:spacing w:after="0" w:line="240" w:lineRule="auto"/>
      </w:pPr>
      <w:r>
        <w:separator/>
      </w:r>
    </w:p>
  </w:footnote>
  <w:footnote w:type="continuationSeparator" w:id="0">
    <w:p w:rsidR="00FA1A6E" w:rsidRDefault="00FA1A6E" w:rsidP="00DC559A">
      <w:pPr>
        <w:spacing w:after="0" w:line="240" w:lineRule="auto"/>
      </w:pPr>
      <w:r>
        <w:continuationSeparator/>
      </w:r>
    </w:p>
  </w:footnote>
  <w:footnote w:id="1">
    <w:p w:rsidR="005F7BB4" w:rsidRPr="00FA14E5" w:rsidRDefault="005F7BB4" w:rsidP="005F7BB4">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“Los derechos fundamentales, precisamente porque están igual garantizados para todos los sustraídos a la disponibilidad de del mercado y de la política, forman la esfera de lo indecidible que y de lo indecidible que no; y actúan como factores no solo de legitimación sino también y, sobre todo, como factores de deslegitimación de las decisiones y de las no-decisiones.” FERRAJOLI, Luigi, </w:t>
      </w:r>
      <w:r w:rsidRPr="00FA14E5">
        <w:rPr>
          <w:rFonts w:ascii="Arial" w:hAnsi="Arial" w:cs="Arial"/>
          <w:i/>
        </w:rPr>
        <w:t>Derechos y Garantías. La ley del más débil.</w:t>
      </w:r>
      <w:r w:rsidRPr="00FA14E5">
        <w:rPr>
          <w:rFonts w:ascii="Arial" w:hAnsi="Arial" w:cs="Arial"/>
        </w:rPr>
        <w:t xml:space="preserve"> Séptima edición, Madrid. Editorial Trotta, 2010. Pág. 24</w:t>
      </w:r>
    </w:p>
  </w:footnote>
  <w:footnote w:id="2">
    <w:p w:rsidR="005F7BB4" w:rsidRPr="00FA14E5" w:rsidRDefault="005F7BB4" w:rsidP="005F7BB4">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“Por lo tanto, los principios son mandatos de optimización, que se caracterizan porque pueden cumplirse en diferente grado y que la medida debida de su cumplimiento no sólo depende de las posibilidades reales sino también de las jurídicas”. Alexy, Robert. </w:t>
      </w:r>
      <w:r w:rsidRPr="000C14C0">
        <w:rPr>
          <w:rFonts w:ascii="Arial" w:hAnsi="Arial" w:cs="Arial"/>
          <w:i/>
        </w:rPr>
        <w:t>Teoría de los derechos fundamentales.</w:t>
      </w:r>
      <w:r w:rsidRPr="00FA14E5">
        <w:rPr>
          <w:rFonts w:ascii="Arial" w:hAnsi="Arial" w:cs="Arial"/>
        </w:rPr>
        <w:t xml:space="preserve"> Segunda edición, Madrid, Ed, Centro de Estudios Políticos y Constitucionales. 2014. Pág. 68.</w:t>
      </w:r>
    </w:p>
  </w:footnote>
  <w:footnote w:id="3">
    <w:p w:rsidR="005F7BB4" w:rsidRPr="00FA14E5" w:rsidRDefault="005F7BB4" w:rsidP="005F7BB4">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FA14E5">
        <w:rPr>
          <w:rFonts w:ascii="Arial" w:hAnsi="Arial" w:cs="Arial"/>
          <w:i/>
        </w:rPr>
        <w:t>La democracia a través de los derechos., El constitucionalismo garantista como modelo teórico y como proyecto político.</w:t>
      </w:r>
      <w:r w:rsidRPr="00FA14E5">
        <w:rPr>
          <w:rFonts w:ascii="Arial" w:hAnsi="Arial" w:cs="Arial"/>
        </w:rPr>
        <w:t xml:space="preserve"> Madrid. Ed. Trotta, 2014.Pág. 62.</w:t>
      </w:r>
    </w:p>
  </w:footnote>
  <w:footnote w:id="4">
    <w:p w:rsidR="005F7BB4" w:rsidRPr="00FA14E5" w:rsidRDefault="005F7BB4" w:rsidP="005F7BB4">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0C14C0">
        <w:rPr>
          <w:rFonts w:ascii="Arial" w:hAnsi="Arial" w:cs="Arial"/>
          <w:i/>
        </w:rPr>
        <w:t>Poderes salvajes. La crisis de la democracia constitucional.</w:t>
      </w:r>
      <w:r w:rsidRPr="00FA14E5">
        <w:rPr>
          <w:rFonts w:ascii="Arial" w:hAnsi="Arial" w:cs="Arial"/>
        </w:rPr>
        <w:t xml:space="preserve"> Segunda edición, Madrid. Ed. Mínima Trotta. 2011. Pág. 40.</w:t>
      </w:r>
    </w:p>
  </w:footnote>
  <w:footnote w:id="5">
    <w:p w:rsidR="005F7BB4" w:rsidRPr="00FA14E5" w:rsidRDefault="005F7BB4" w:rsidP="005F7BB4">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Comisión Interamericana de Derechos Humanos. Relatoría Especial para la Libertad de Expresión. El derecho de acceso a la información pública en el marco jurídico interamericano. 2ª. Edición, OEA, 2012. Párr. 29.</w:t>
      </w:r>
    </w:p>
  </w:footnote>
  <w:footnote w:id="6">
    <w:p w:rsidR="005F7BB4" w:rsidRPr="00FA14E5" w:rsidRDefault="005F7BB4" w:rsidP="005F7BB4">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Corte Interamericana de Derechos Humanos. Caso Claude Reyes y otros contra Chile. Sentencia de 19 de septiembre de 2006. Párrfs. 116-139.</w:t>
      </w:r>
    </w:p>
  </w:footnote>
  <w:footnote w:id="7">
    <w:p w:rsidR="005F7BB4" w:rsidRPr="00FA14E5" w:rsidRDefault="005F7BB4" w:rsidP="005F7BB4">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OPINIÓN PARTICULAR DEL COMISIONADO JOSÉ GUADALUPE LUNA HERNÁNDEZ EN EL RECURSO DE REVISIÓN 01750/INFOEM/IP/RR/2015 Y 01751/INFOEM/IP/RR/2015. Párr. 21.</w:t>
      </w:r>
    </w:p>
  </w:footnote>
  <w:footnote w:id="8">
    <w:p w:rsidR="005F7BB4" w:rsidRPr="00FA14E5" w:rsidRDefault="005F7BB4" w:rsidP="005F7BB4">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FA14E5">
        <w:rPr>
          <w:rFonts w:ascii="Arial" w:hAnsi="Arial" w:cs="Arial"/>
          <w:i/>
        </w:rPr>
        <w:t xml:space="preserve">La demo…cit. </w:t>
      </w:r>
      <w:r w:rsidRPr="00FA14E5">
        <w:rPr>
          <w:rFonts w:ascii="Arial" w:hAnsi="Arial" w:cs="Arial"/>
        </w:rPr>
        <w:t>Pág. 62.</w:t>
      </w:r>
    </w:p>
  </w:footnote>
  <w:footnote w:id="9">
    <w:p w:rsidR="005F7BB4" w:rsidRPr="00FA14E5" w:rsidRDefault="005F7BB4" w:rsidP="005F7BB4">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FA14E5">
        <w:rPr>
          <w:rFonts w:ascii="Arial" w:hAnsi="Arial" w:cs="Arial"/>
          <w:i/>
        </w:rPr>
        <w:t xml:space="preserve">Pode… cit. </w:t>
      </w:r>
      <w:r w:rsidRPr="00FA14E5">
        <w:rPr>
          <w:rFonts w:ascii="Arial" w:hAnsi="Arial" w:cs="Arial"/>
        </w:rPr>
        <w:t>Pág. 40.</w:t>
      </w:r>
    </w:p>
  </w:footnote>
  <w:footnote w:id="10">
    <w:p w:rsidR="005F7BB4" w:rsidRPr="00FA14E5" w:rsidRDefault="005F7BB4" w:rsidP="005F7BB4">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“120. Que el Estado debe adoptar, de acuerdo con el artículo 2 de la Convención, aquellas medidas de protección de los derechos humanos que aseguren el ejercicio libre y pleno de los derechos a la vida, la libertad e integridad personales y la protección y garantías judiciales, con el fin de evitar que ocurran en el futuro hechos lesivos como los del presente caso”. Corte Interamericana de Derechos Humanos. Caso Trujillo Oroza vs. Bolivia. Sentencia de 27 de febrero de 2002 (Reparaciones y Costas). Párr. 120.</w:t>
      </w:r>
    </w:p>
  </w:footnote>
  <w:footnote w:id="11">
    <w:p w:rsidR="005F7BB4" w:rsidRDefault="005F7BB4" w:rsidP="005F7BB4">
      <w:pPr>
        <w:pStyle w:val="Textonotapie"/>
      </w:pPr>
      <w:r>
        <w:rPr>
          <w:rStyle w:val="Refdenotaalpie"/>
        </w:rPr>
        <w:footnoteRef/>
      </w:r>
      <w:r>
        <w:t xml:space="preserve"> Suprema Corte de Justicia de la Nación. Expediente Varios 912/2010.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FA1A6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9264;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FA1A6E">
    <w:pPr>
      <w:pStyle w:val="Encabezado"/>
    </w:pPr>
    <w:r>
      <w:rPr>
        <w:noProof/>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634" o:spid="_x0000_s2052" type="#_x0000_t136" style="position:absolute;margin-left:0;margin-top:0;width:566.4pt;height:56.6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50137A" w:rsidRDefault="00FA1A6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FA1A6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816EB"/>
    <w:multiLevelType w:val="hybridMultilevel"/>
    <w:tmpl w:val="95486C12"/>
    <w:lvl w:ilvl="0" w:tplc="259C2D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770CA1"/>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F73D3E"/>
    <w:multiLevelType w:val="hybridMultilevel"/>
    <w:tmpl w:val="0E809184"/>
    <w:lvl w:ilvl="0" w:tplc="029A29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222A1A"/>
    <w:multiLevelType w:val="hybridMultilevel"/>
    <w:tmpl w:val="DE223B04"/>
    <w:lvl w:ilvl="0" w:tplc="5C5A7F2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8536C8"/>
    <w:multiLevelType w:val="hybridMultilevel"/>
    <w:tmpl w:val="F886DFBE"/>
    <w:lvl w:ilvl="0" w:tplc="397E08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B94721"/>
    <w:multiLevelType w:val="hybridMultilevel"/>
    <w:tmpl w:val="54C22B9C"/>
    <w:lvl w:ilvl="0" w:tplc="7004A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C3519E"/>
    <w:multiLevelType w:val="hybridMultilevel"/>
    <w:tmpl w:val="A484CB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317490"/>
    <w:multiLevelType w:val="hybridMultilevel"/>
    <w:tmpl w:val="A37E806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E95D13"/>
    <w:multiLevelType w:val="hybridMultilevel"/>
    <w:tmpl w:val="3AA0954A"/>
    <w:lvl w:ilvl="0" w:tplc="84260FB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51110A"/>
    <w:multiLevelType w:val="hybridMultilevel"/>
    <w:tmpl w:val="ACAA7774"/>
    <w:lvl w:ilvl="0" w:tplc="4314BC12">
      <w:start w:val="2"/>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C921BBC"/>
    <w:multiLevelType w:val="hybridMultilevel"/>
    <w:tmpl w:val="50CABE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03C22D2"/>
    <w:multiLevelType w:val="hybridMultilevel"/>
    <w:tmpl w:val="8DB84A00"/>
    <w:lvl w:ilvl="0" w:tplc="F1DAB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45028DE"/>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B373820"/>
    <w:multiLevelType w:val="hybridMultilevel"/>
    <w:tmpl w:val="A8A8AA88"/>
    <w:lvl w:ilvl="0" w:tplc="B240C2BC">
      <w:start w:val="22"/>
      <w:numFmt w:val="decimal"/>
      <w:lvlText w:val="%1."/>
      <w:lvlJc w:val="left"/>
      <w:pPr>
        <w:ind w:left="295" w:hanging="360"/>
      </w:pPr>
      <w:rPr>
        <w:rFonts w:hint="default"/>
      </w:rPr>
    </w:lvl>
    <w:lvl w:ilvl="1" w:tplc="080A0019" w:tentative="1">
      <w:start w:val="1"/>
      <w:numFmt w:val="lowerLetter"/>
      <w:lvlText w:val="%2."/>
      <w:lvlJc w:val="left"/>
      <w:pPr>
        <w:ind w:left="1015" w:hanging="360"/>
      </w:pPr>
    </w:lvl>
    <w:lvl w:ilvl="2" w:tplc="080A001B" w:tentative="1">
      <w:start w:val="1"/>
      <w:numFmt w:val="lowerRoman"/>
      <w:lvlText w:val="%3."/>
      <w:lvlJc w:val="right"/>
      <w:pPr>
        <w:ind w:left="1735" w:hanging="180"/>
      </w:pPr>
    </w:lvl>
    <w:lvl w:ilvl="3" w:tplc="080A000F" w:tentative="1">
      <w:start w:val="1"/>
      <w:numFmt w:val="decimal"/>
      <w:lvlText w:val="%4."/>
      <w:lvlJc w:val="left"/>
      <w:pPr>
        <w:ind w:left="2455" w:hanging="360"/>
      </w:pPr>
    </w:lvl>
    <w:lvl w:ilvl="4" w:tplc="080A0019" w:tentative="1">
      <w:start w:val="1"/>
      <w:numFmt w:val="lowerLetter"/>
      <w:lvlText w:val="%5."/>
      <w:lvlJc w:val="left"/>
      <w:pPr>
        <w:ind w:left="3175" w:hanging="360"/>
      </w:pPr>
    </w:lvl>
    <w:lvl w:ilvl="5" w:tplc="080A001B" w:tentative="1">
      <w:start w:val="1"/>
      <w:numFmt w:val="lowerRoman"/>
      <w:lvlText w:val="%6."/>
      <w:lvlJc w:val="right"/>
      <w:pPr>
        <w:ind w:left="3895" w:hanging="180"/>
      </w:pPr>
    </w:lvl>
    <w:lvl w:ilvl="6" w:tplc="080A000F" w:tentative="1">
      <w:start w:val="1"/>
      <w:numFmt w:val="decimal"/>
      <w:lvlText w:val="%7."/>
      <w:lvlJc w:val="left"/>
      <w:pPr>
        <w:ind w:left="4615" w:hanging="360"/>
      </w:pPr>
    </w:lvl>
    <w:lvl w:ilvl="7" w:tplc="080A0019" w:tentative="1">
      <w:start w:val="1"/>
      <w:numFmt w:val="lowerLetter"/>
      <w:lvlText w:val="%8."/>
      <w:lvlJc w:val="left"/>
      <w:pPr>
        <w:ind w:left="5335" w:hanging="360"/>
      </w:pPr>
    </w:lvl>
    <w:lvl w:ilvl="8" w:tplc="080A001B" w:tentative="1">
      <w:start w:val="1"/>
      <w:numFmt w:val="lowerRoman"/>
      <w:lvlText w:val="%9."/>
      <w:lvlJc w:val="right"/>
      <w:pPr>
        <w:ind w:left="6055" w:hanging="180"/>
      </w:pPr>
    </w:lvl>
  </w:abstractNum>
  <w:num w:numId="1">
    <w:abstractNumId w:val="14"/>
  </w:num>
  <w:num w:numId="2">
    <w:abstractNumId w:val="1"/>
  </w:num>
  <w:num w:numId="3">
    <w:abstractNumId w:val="16"/>
  </w:num>
  <w:num w:numId="4">
    <w:abstractNumId w:val="7"/>
  </w:num>
  <w:num w:numId="5">
    <w:abstractNumId w:val="21"/>
  </w:num>
  <w:num w:numId="6">
    <w:abstractNumId w:val="8"/>
  </w:num>
  <w:num w:numId="7">
    <w:abstractNumId w:val="20"/>
  </w:num>
  <w:num w:numId="8">
    <w:abstractNumId w:val="18"/>
  </w:num>
  <w:num w:numId="9">
    <w:abstractNumId w:val="5"/>
  </w:num>
  <w:num w:numId="10">
    <w:abstractNumId w:val="3"/>
  </w:num>
  <w:num w:numId="11">
    <w:abstractNumId w:val="6"/>
  </w:num>
  <w:num w:numId="12">
    <w:abstractNumId w:val="11"/>
  </w:num>
  <w:num w:numId="13">
    <w:abstractNumId w:val="12"/>
  </w:num>
  <w:num w:numId="14">
    <w:abstractNumId w:val="19"/>
  </w:num>
  <w:num w:numId="15">
    <w:abstractNumId w:val="0"/>
  </w:num>
  <w:num w:numId="16">
    <w:abstractNumId w:val="13"/>
  </w:num>
  <w:num w:numId="17">
    <w:abstractNumId w:val="4"/>
  </w:num>
  <w:num w:numId="18">
    <w:abstractNumId w:val="23"/>
  </w:num>
  <w:num w:numId="19">
    <w:abstractNumId w:val="9"/>
  </w:num>
  <w:num w:numId="20">
    <w:abstractNumId w:val="2"/>
  </w:num>
  <w:num w:numId="21">
    <w:abstractNumId w:val="17"/>
  </w:num>
  <w:num w:numId="22">
    <w:abstractNumId w:val="22"/>
  </w:num>
  <w:num w:numId="23">
    <w:abstractNumId w:val="1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00EE3"/>
    <w:rsid w:val="00005556"/>
    <w:rsid w:val="00013F62"/>
    <w:rsid w:val="000227F4"/>
    <w:rsid w:val="00026199"/>
    <w:rsid w:val="0002684D"/>
    <w:rsid w:val="00037C7C"/>
    <w:rsid w:val="00064D2B"/>
    <w:rsid w:val="000C289F"/>
    <w:rsid w:val="000D4F51"/>
    <w:rsid w:val="000D5811"/>
    <w:rsid w:val="000D79A0"/>
    <w:rsid w:val="000E43AB"/>
    <w:rsid w:val="000F4071"/>
    <w:rsid w:val="00113A96"/>
    <w:rsid w:val="00123E1D"/>
    <w:rsid w:val="001273B6"/>
    <w:rsid w:val="00134DA0"/>
    <w:rsid w:val="00141135"/>
    <w:rsid w:val="00145961"/>
    <w:rsid w:val="001620F1"/>
    <w:rsid w:val="00164909"/>
    <w:rsid w:val="00175E9F"/>
    <w:rsid w:val="0018271F"/>
    <w:rsid w:val="00183A1B"/>
    <w:rsid w:val="00187E2D"/>
    <w:rsid w:val="001A4E79"/>
    <w:rsid w:val="001B78B7"/>
    <w:rsid w:val="001D09E6"/>
    <w:rsid w:val="001D465C"/>
    <w:rsid w:val="001E65D5"/>
    <w:rsid w:val="00203EB6"/>
    <w:rsid w:val="0020553B"/>
    <w:rsid w:val="00220BB9"/>
    <w:rsid w:val="00225758"/>
    <w:rsid w:val="002376B4"/>
    <w:rsid w:val="00260A10"/>
    <w:rsid w:val="00267F73"/>
    <w:rsid w:val="00274EF3"/>
    <w:rsid w:val="00284349"/>
    <w:rsid w:val="0028726F"/>
    <w:rsid w:val="00293993"/>
    <w:rsid w:val="002948E5"/>
    <w:rsid w:val="002B4023"/>
    <w:rsid w:val="002D63B3"/>
    <w:rsid w:val="002E2F46"/>
    <w:rsid w:val="00300947"/>
    <w:rsid w:val="00323DF8"/>
    <w:rsid w:val="00325547"/>
    <w:rsid w:val="003276B7"/>
    <w:rsid w:val="00336BC3"/>
    <w:rsid w:val="0034151E"/>
    <w:rsid w:val="003431E5"/>
    <w:rsid w:val="0036287F"/>
    <w:rsid w:val="00384C92"/>
    <w:rsid w:val="003916ED"/>
    <w:rsid w:val="00393382"/>
    <w:rsid w:val="0039566E"/>
    <w:rsid w:val="003B6EC6"/>
    <w:rsid w:val="003C7564"/>
    <w:rsid w:val="00432104"/>
    <w:rsid w:val="00435284"/>
    <w:rsid w:val="004417A0"/>
    <w:rsid w:val="00445C1E"/>
    <w:rsid w:val="00465D03"/>
    <w:rsid w:val="004665BF"/>
    <w:rsid w:val="004769F5"/>
    <w:rsid w:val="0048383C"/>
    <w:rsid w:val="004A69D6"/>
    <w:rsid w:val="004B4E07"/>
    <w:rsid w:val="004C3125"/>
    <w:rsid w:val="004C3FC8"/>
    <w:rsid w:val="004C73FB"/>
    <w:rsid w:val="004D1010"/>
    <w:rsid w:val="004D786C"/>
    <w:rsid w:val="004F3292"/>
    <w:rsid w:val="00517976"/>
    <w:rsid w:val="005429BB"/>
    <w:rsid w:val="00546237"/>
    <w:rsid w:val="005471F8"/>
    <w:rsid w:val="0056327C"/>
    <w:rsid w:val="00570DFF"/>
    <w:rsid w:val="00571B97"/>
    <w:rsid w:val="00585BED"/>
    <w:rsid w:val="0059666F"/>
    <w:rsid w:val="005A4257"/>
    <w:rsid w:val="005E6A45"/>
    <w:rsid w:val="005F7BB4"/>
    <w:rsid w:val="00611AB9"/>
    <w:rsid w:val="00625340"/>
    <w:rsid w:val="00676A74"/>
    <w:rsid w:val="006773C0"/>
    <w:rsid w:val="006A65B0"/>
    <w:rsid w:val="006C01EB"/>
    <w:rsid w:val="006D22C2"/>
    <w:rsid w:val="006E3151"/>
    <w:rsid w:val="006E4346"/>
    <w:rsid w:val="006E7A8B"/>
    <w:rsid w:val="006F18A4"/>
    <w:rsid w:val="00703F02"/>
    <w:rsid w:val="00712288"/>
    <w:rsid w:val="0071438F"/>
    <w:rsid w:val="00764FF6"/>
    <w:rsid w:val="00771D7C"/>
    <w:rsid w:val="00781495"/>
    <w:rsid w:val="0078520D"/>
    <w:rsid w:val="0078690A"/>
    <w:rsid w:val="00794169"/>
    <w:rsid w:val="007A13C3"/>
    <w:rsid w:val="007A6841"/>
    <w:rsid w:val="007B4C9B"/>
    <w:rsid w:val="007D5A9C"/>
    <w:rsid w:val="0080411B"/>
    <w:rsid w:val="00815B5D"/>
    <w:rsid w:val="00841881"/>
    <w:rsid w:val="00870BA6"/>
    <w:rsid w:val="008946FB"/>
    <w:rsid w:val="008A491D"/>
    <w:rsid w:val="008B4955"/>
    <w:rsid w:val="008B5653"/>
    <w:rsid w:val="008F435F"/>
    <w:rsid w:val="00900C7B"/>
    <w:rsid w:val="0092289B"/>
    <w:rsid w:val="00927436"/>
    <w:rsid w:val="00934555"/>
    <w:rsid w:val="00963FCC"/>
    <w:rsid w:val="00964B55"/>
    <w:rsid w:val="009749F9"/>
    <w:rsid w:val="00992F9E"/>
    <w:rsid w:val="009A38A3"/>
    <w:rsid w:val="009B6AAE"/>
    <w:rsid w:val="009C6D1F"/>
    <w:rsid w:val="009E08AF"/>
    <w:rsid w:val="009F7309"/>
    <w:rsid w:val="00A11153"/>
    <w:rsid w:val="00A143D1"/>
    <w:rsid w:val="00A37917"/>
    <w:rsid w:val="00A66803"/>
    <w:rsid w:val="00A801BF"/>
    <w:rsid w:val="00A828B4"/>
    <w:rsid w:val="00A912FC"/>
    <w:rsid w:val="00A947EF"/>
    <w:rsid w:val="00AA45BE"/>
    <w:rsid w:val="00AA683B"/>
    <w:rsid w:val="00AB34C1"/>
    <w:rsid w:val="00AC07BB"/>
    <w:rsid w:val="00AC37F9"/>
    <w:rsid w:val="00AC4B5E"/>
    <w:rsid w:val="00AC6B6E"/>
    <w:rsid w:val="00AD01CF"/>
    <w:rsid w:val="00AD48A0"/>
    <w:rsid w:val="00AE30E5"/>
    <w:rsid w:val="00AE455C"/>
    <w:rsid w:val="00AE7918"/>
    <w:rsid w:val="00B02F56"/>
    <w:rsid w:val="00B14EBC"/>
    <w:rsid w:val="00B17543"/>
    <w:rsid w:val="00B43601"/>
    <w:rsid w:val="00B47F96"/>
    <w:rsid w:val="00B72E69"/>
    <w:rsid w:val="00B75E0A"/>
    <w:rsid w:val="00B87289"/>
    <w:rsid w:val="00BB5AE2"/>
    <w:rsid w:val="00BC3314"/>
    <w:rsid w:val="00BD29B2"/>
    <w:rsid w:val="00BD586B"/>
    <w:rsid w:val="00BE26FB"/>
    <w:rsid w:val="00BE6E85"/>
    <w:rsid w:val="00BF0ED2"/>
    <w:rsid w:val="00C02AF0"/>
    <w:rsid w:val="00C230CB"/>
    <w:rsid w:val="00C60B48"/>
    <w:rsid w:val="00CA1D90"/>
    <w:rsid w:val="00CB13F0"/>
    <w:rsid w:val="00CD3FD7"/>
    <w:rsid w:val="00CD49FA"/>
    <w:rsid w:val="00CD77B9"/>
    <w:rsid w:val="00CD7FE5"/>
    <w:rsid w:val="00CE64A4"/>
    <w:rsid w:val="00CF05D3"/>
    <w:rsid w:val="00D02606"/>
    <w:rsid w:val="00D4328A"/>
    <w:rsid w:val="00D4396D"/>
    <w:rsid w:val="00D60041"/>
    <w:rsid w:val="00D6076C"/>
    <w:rsid w:val="00D62508"/>
    <w:rsid w:val="00D91003"/>
    <w:rsid w:val="00DA75B8"/>
    <w:rsid w:val="00DC35D1"/>
    <w:rsid w:val="00DC559A"/>
    <w:rsid w:val="00DC7774"/>
    <w:rsid w:val="00DE456D"/>
    <w:rsid w:val="00E015EC"/>
    <w:rsid w:val="00E40A86"/>
    <w:rsid w:val="00E52153"/>
    <w:rsid w:val="00E61BE7"/>
    <w:rsid w:val="00E661C7"/>
    <w:rsid w:val="00E76D68"/>
    <w:rsid w:val="00E85FDE"/>
    <w:rsid w:val="00E919D3"/>
    <w:rsid w:val="00E940EB"/>
    <w:rsid w:val="00E94D66"/>
    <w:rsid w:val="00E96644"/>
    <w:rsid w:val="00E974FA"/>
    <w:rsid w:val="00ED4F35"/>
    <w:rsid w:val="00EE00C3"/>
    <w:rsid w:val="00EF5CBC"/>
    <w:rsid w:val="00F02D41"/>
    <w:rsid w:val="00F11351"/>
    <w:rsid w:val="00F12DC5"/>
    <w:rsid w:val="00F15522"/>
    <w:rsid w:val="00F237C4"/>
    <w:rsid w:val="00F313D4"/>
    <w:rsid w:val="00F3485F"/>
    <w:rsid w:val="00F358A9"/>
    <w:rsid w:val="00F36ACA"/>
    <w:rsid w:val="00F4017D"/>
    <w:rsid w:val="00F42DD4"/>
    <w:rsid w:val="00F51F8F"/>
    <w:rsid w:val="00F54D5C"/>
    <w:rsid w:val="00F62245"/>
    <w:rsid w:val="00F72C33"/>
    <w:rsid w:val="00F74AB6"/>
    <w:rsid w:val="00F77A03"/>
    <w:rsid w:val="00F83D56"/>
    <w:rsid w:val="00F84DA1"/>
    <w:rsid w:val="00F96926"/>
    <w:rsid w:val="00FA00F2"/>
    <w:rsid w:val="00FA1A6E"/>
    <w:rsid w:val="00FA4229"/>
    <w:rsid w:val="00FA79F7"/>
    <w:rsid w:val="00FC3ED9"/>
    <w:rsid w:val="00FF7C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D23D5E5A-C5C6-41B8-AF29-6E6E0382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340"/>
  </w:style>
  <w:style w:type="paragraph" w:styleId="Ttulo1">
    <w:name w:val="heading 1"/>
    <w:basedOn w:val="Normal"/>
    <w:next w:val="Normal"/>
    <w:link w:val="Ttulo1Car"/>
    <w:uiPriority w:val="9"/>
    <w:qFormat/>
    <w:rsid w:val="00625340"/>
    <w:pPr>
      <w:keepNext/>
      <w:keepLines/>
      <w:spacing w:before="240" w:after="0"/>
      <w:outlineLvl w:val="0"/>
    </w:pPr>
    <w:rPr>
      <w:rFonts w:ascii="Palatino Linotype" w:eastAsiaTheme="majorEastAsia" w:hAnsi="Palatino Linotype"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DC559A"/>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C559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uiPriority w:val="1"/>
    <w:qFormat/>
    <w:rsid w:val="00DC559A"/>
    <w:pPr>
      <w:spacing w:after="0" w:line="240" w:lineRule="auto"/>
    </w:pPr>
  </w:style>
  <w:style w:type="character" w:customStyle="1" w:styleId="Ttulo1Car">
    <w:name w:val="Título 1 Car"/>
    <w:basedOn w:val="Fuentedeprrafopredeter"/>
    <w:link w:val="Ttulo1"/>
    <w:uiPriority w:val="9"/>
    <w:rsid w:val="00625340"/>
    <w:rPr>
      <w:rFonts w:ascii="Palatino Linotype" w:eastAsiaTheme="majorEastAsia" w:hAnsi="Palatino Linotype" w:cstheme="majorBidi"/>
      <w:b/>
      <w:sz w:val="24"/>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585BED"/>
    <w:pPr>
      <w:spacing w:after="100"/>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2055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553B"/>
    <w:rPr>
      <w:rFonts w:ascii="Segoe UI" w:hAnsi="Segoe UI" w:cs="Segoe UI"/>
      <w:sz w:val="18"/>
      <w:szCs w:val="18"/>
    </w:rPr>
  </w:style>
  <w:style w:type="paragraph" w:customStyle="1" w:styleId="Default">
    <w:name w:val="Default"/>
    <w:rsid w:val="00ED4F3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703F02"/>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Texto">
    <w:name w:val="Texto"/>
    <w:basedOn w:val="Normal"/>
    <w:rsid w:val="000C289F"/>
    <w:pPr>
      <w:spacing w:after="101" w:line="216" w:lineRule="atLeast"/>
      <w:ind w:firstLine="288"/>
      <w:jc w:val="both"/>
    </w:pPr>
    <w:rPr>
      <w:rFonts w:ascii="Arial" w:eastAsia="Times New Roman" w:hAnsi="Arial" w:cs="Arial"/>
      <w:sz w:val="18"/>
      <w:szCs w:val="18"/>
      <w:lang w:eastAsia="es-MX"/>
    </w:rPr>
  </w:style>
  <w:style w:type="paragraph" w:styleId="TDC2">
    <w:name w:val="toc 2"/>
    <w:basedOn w:val="Normal"/>
    <w:next w:val="Normal"/>
    <w:autoRedefine/>
    <w:uiPriority w:val="39"/>
    <w:unhideWhenUsed/>
    <w:rsid w:val="00F51F8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1F70D-3166-41AA-B8C2-088291BBB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3272</Words>
  <Characters>17998</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21228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USUARIO INFOEM</cp:lastModifiedBy>
  <cp:revision>2</cp:revision>
  <cp:lastPrinted>2019-07-29T17:20:00Z</cp:lastPrinted>
  <dcterms:created xsi:type="dcterms:W3CDTF">2019-08-21T16:29:00Z</dcterms:created>
  <dcterms:modified xsi:type="dcterms:W3CDTF">2019-08-21T16:29:00Z</dcterms:modified>
</cp:coreProperties>
</file>